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0"/>
        <w:jc w:val="center"/>
        <w:rPr>
          <w:rFonts w:ascii="微软雅黑" w:hAnsi="微软雅黑" w:eastAsia="微软雅黑" w:cs="微软雅黑"/>
          <w:i w:val="0"/>
          <w:caps w:val="0"/>
          <w:color w:val="BC1010"/>
          <w:spacing w:val="0"/>
          <w:sz w:val="36"/>
          <w:szCs w:val="36"/>
        </w:rPr>
      </w:pPr>
      <w:r>
        <w:rPr>
          <w:rFonts w:hint="eastAsia" w:ascii="微软雅黑" w:hAnsi="微软雅黑" w:eastAsia="微软雅黑" w:cs="微软雅黑"/>
          <w:i w:val="0"/>
          <w:caps w:val="0"/>
          <w:color w:val="BC1010"/>
          <w:spacing w:val="0"/>
          <w:sz w:val="36"/>
          <w:szCs w:val="36"/>
          <w:bdr w:val="none" w:color="auto" w:sz="0" w:space="0"/>
          <w:shd w:val="clear" w:fill="FFFFFF"/>
        </w:rPr>
        <w:t>广州市市场监督管理局 广州市财政局关于印发</w:t>
      </w:r>
      <w:bookmarkStart w:id="0" w:name="_GoBack"/>
      <w:r>
        <w:rPr>
          <w:rFonts w:hint="eastAsia" w:ascii="微软雅黑" w:hAnsi="微软雅黑" w:eastAsia="微软雅黑" w:cs="微软雅黑"/>
          <w:i w:val="0"/>
          <w:caps w:val="0"/>
          <w:color w:val="BC1010"/>
          <w:spacing w:val="0"/>
          <w:sz w:val="36"/>
          <w:szCs w:val="36"/>
          <w:bdr w:val="none" w:color="auto" w:sz="0" w:space="0"/>
          <w:shd w:val="clear" w:fill="FFFFFF"/>
        </w:rPr>
        <w:t>广州市专利工作专项资金管理办法</w:t>
      </w:r>
      <w:bookmarkEnd w:id="0"/>
      <w:r>
        <w:rPr>
          <w:rFonts w:hint="eastAsia" w:ascii="微软雅黑" w:hAnsi="微软雅黑" w:eastAsia="微软雅黑" w:cs="微软雅黑"/>
          <w:i w:val="0"/>
          <w:caps w:val="0"/>
          <w:color w:val="BC1010"/>
          <w:spacing w:val="0"/>
          <w:sz w:val="36"/>
          <w:szCs w:val="36"/>
          <w:bdr w:val="none" w:color="auto" w:sz="0" w:space="0"/>
          <w:shd w:val="clear" w:fill="FFFFFF"/>
        </w:rPr>
        <w:t>的通知</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480" w:lineRule="auto"/>
        <w:ind w:left="0" w:right="0" w:firstLine="0"/>
        <w:jc w:val="center"/>
        <w:textAlignment w:val="baseline"/>
        <w:rPr>
          <w:rFonts w:hint="eastAsia" w:ascii="宋体" w:hAnsi="宋体" w:eastAsia="宋体" w:cs="宋体"/>
          <w:b/>
          <w:caps w:val="0"/>
          <w:color w:val="333333"/>
          <w:spacing w:val="-20"/>
          <w:sz w:val="24"/>
          <w:szCs w:val="24"/>
          <w:bdr w:val="none" w:color="333333" w:sz="0" w:space="0"/>
          <w:vertAlign w:val="baseline"/>
        </w:rPr>
      </w:pP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0" w:firstLine="0"/>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caps w:val="0"/>
          <w:color w:val="333333"/>
          <w:spacing w:val="0"/>
          <w:sz w:val="24"/>
          <w:szCs w:val="24"/>
          <w:bdr w:val="none" w:color="333333" w:sz="0" w:space="0"/>
          <w:vertAlign w:val="baseline"/>
        </w:rPr>
        <w:t>各区市场监督管理局、财政局，各有关单位和专利权人：</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0" w:firstLine="640"/>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caps w:val="0"/>
          <w:color w:val="333333"/>
          <w:spacing w:val="0"/>
          <w:sz w:val="24"/>
          <w:szCs w:val="24"/>
          <w:bdr w:val="none" w:color="333333" w:sz="0" w:space="0"/>
          <w:vertAlign w:val="baseline"/>
        </w:rPr>
        <w:t>为贯彻落实《中共广州市委广州市人民政府关于加快实施创新驱动发展战略的决定》《广州市人民政府关于印发广州市加强知识产权运用和保护促进创新驱动发展实施方案的通知》以及《广州市人民政府关于广州市创建国家知识产权强市行动计划（2017-2020年）的通知》，进一步促进我市专利创造、运用、保护、管理和服务工作，推动知识产权强市和枢纽城市建设，市市场监督管理局、市财政局联合对《广州市专利工作专项资金管理办法》（穗知规字〔2017〕4号）进行了修订，现将修订后的《广州市专利工作专项资金管理办法》印发给你们，请遵照执行。</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0" w:firstLine="0"/>
        <w:jc w:val="right"/>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caps w:val="0"/>
          <w:color w:val="333333"/>
          <w:spacing w:val="0"/>
          <w:sz w:val="24"/>
          <w:szCs w:val="24"/>
          <w:bdr w:val="none" w:color="333333" w:sz="0" w:space="0"/>
          <w:vertAlign w:val="baseline"/>
        </w:rPr>
        <w:t>广州市市场监督管理局             广州市财政局 </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456" w:lineRule="atLeast"/>
        <w:ind w:left="0" w:right="0" w:firstLine="0"/>
        <w:jc w:val="right"/>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caps w:val="0"/>
          <w:color w:val="333333"/>
          <w:spacing w:val="0"/>
          <w:sz w:val="24"/>
          <w:szCs w:val="24"/>
          <w:bdr w:val="none" w:color="333333" w:sz="0" w:space="0"/>
          <w:vertAlign w:val="baseline"/>
        </w:rPr>
        <w:t>2019年5月17日</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456" w:lineRule="atLeast"/>
        <w:ind w:left="0" w:right="0" w:firstLine="0"/>
        <w:jc w:val="left"/>
        <w:textAlignment w:val="baseline"/>
        <w:rPr>
          <w:rFonts w:hint="default" w:ascii="Times New Roman" w:hAnsi="Times New Roman" w:cs="Times New Roman"/>
          <w:caps w:val="0"/>
          <w:color w:val="333333"/>
          <w:spacing w:val="0"/>
          <w:sz w:val="21"/>
          <w:szCs w:val="21"/>
        </w:rPr>
      </w:pPr>
      <w:r>
        <w:rPr>
          <w:rFonts w:hint="default" w:ascii="Times New Roman" w:hAnsi="Times New Roman" w:cs="Times New Roman"/>
          <w:caps w:val="0"/>
          <w:color w:val="333333"/>
          <w:spacing w:val="0"/>
          <w:sz w:val="24"/>
          <w:szCs w:val="24"/>
          <w:bdr w:val="none" w:color="333333" w:sz="0" w:space="0"/>
          <w:vertAlign w:val="baseline"/>
        </w:rPr>
        <w:t> </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456" w:lineRule="atLeast"/>
        <w:ind w:left="0" w:right="55" w:firstLine="0"/>
        <w:jc w:val="center"/>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b/>
          <w:caps w:val="0"/>
          <w:color w:val="000000"/>
          <w:spacing w:val="0"/>
          <w:sz w:val="24"/>
          <w:szCs w:val="24"/>
          <w:bdr w:val="none" w:color="000000" w:sz="0" w:space="0"/>
          <w:vertAlign w:val="baseline"/>
        </w:rPr>
        <w:t>广州市专利工作专项资金管理办法</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0"/>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caps w:val="0"/>
          <w:color w:val="333333"/>
          <w:spacing w:val="0"/>
          <w:sz w:val="24"/>
          <w:szCs w:val="24"/>
          <w:bdr w:val="none" w:color="333333" w:sz="0" w:space="0"/>
          <w:vertAlign w:val="baseline"/>
        </w:rPr>
        <w:t> </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0"/>
        <w:jc w:val="center"/>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caps w:val="0"/>
          <w:color w:val="333333"/>
          <w:spacing w:val="0"/>
          <w:sz w:val="24"/>
          <w:szCs w:val="24"/>
          <w:bdr w:val="none" w:color="333333" w:sz="0" w:space="0"/>
          <w:vertAlign w:val="baseline"/>
        </w:rPr>
        <w:t>第一章 总则</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0"/>
        <w:jc w:val="center"/>
        <w:textAlignment w:val="baseline"/>
        <w:rPr>
          <w:rFonts w:hint="default" w:ascii="Times New Roman" w:hAnsi="Times New Roman" w:cs="Times New Roman"/>
          <w:caps w:val="0"/>
          <w:color w:val="333333"/>
          <w:spacing w:val="0"/>
          <w:sz w:val="21"/>
          <w:szCs w:val="21"/>
        </w:rPr>
      </w:pPr>
      <w:r>
        <w:rPr>
          <w:rFonts w:hint="default" w:ascii="Times New Roman" w:hAnsi="Times New Roman" w:cs="Times New Roman"/>
          <w:caps w:val="0"/>
          <w:color w:val="333333"/>
          <w:spacing w:val="0"/>
          <w:sz w:val="24"/>
          <w:szCs w:val="24"/>
          <w:bdr w:val="none" w:color="333333" w:sz="0" w:space="0"/>
          <w:vertAlign w:val="baseline"/>
        </w:rPr>
        <w:t> </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30"/>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b/>
          <w:caps w:val="0"/>
          <w:color w:val="333333"/>
          <w:spacing w:val="0"/>
          <w:sz w:val="24"/>
          <w:szCs w:val="24"/>
          <w:bdr w:val="none" w:color="333333" w:sz="0" w:space="0"/>
          <w:vertAlign w:val="baseline"/>
        </w:rPr>
        <w:t>第一条</w:t>
      </w:r>
      <w:r>
        <w:rPr>
          <w:rFonts w:hint="eastAsia" w:ascii="宋体" w:hAnsi="宋体" w:eastAsia="宋体" w:cs="宋体"/>
          <w:b/>
          <w:caps w:val="0"/>
          <w:color w:val="333333"/>
          <w:spacing w:val="0"/>
          <w:sz w:val="24"/>
          <w:szCs w:val="24"/>
          <w:bdr w:val="none" w:color="auto" w:sz="0" w:space="0"/>
          <w:vertAlign w:val="baseline"/>
        </w:rPr>
        <w:t> </w:t>
      </w:r>
      <w:r>
        <w:rPr>
          <w:rFonts w:hint="eastAsia" w:ascii="宋体" w:hAnsi="宋体" w:eastAsia="宋体" w:cs="宋体"/>
          <w:caps w:val="0"/>
          <w:color w:val="333333"/>
          <w:spacing w:val="0"/>
          <w:sz w:val="24"/>
          <w:szCs w:val="24"/>
          <w:bdr w:val="none" w:color="333333" w:sz="0" w:space="0"/>
          <w:vertAlign w:val="baseline"/>
        </w:rPr>
        <w:t>为贯彻落实国家知识产权战略，建设知识产权强市，促进我市专利事业全面发展，根据《中共广州市委广州市人民政府关于加快实施创新驱动发展战略的决定》（穗字〔2015〕4号）、《广州市人民政府关于印发广州市加强知识产权运用和保护促进创新驱动发展实施方案的通知》（穗府〔2017〕4号）以及《广州市人民政府关于广州市创建国家知识产权强市行动计划（2017-2020年）的通知》（穗府〔2018〕2号）的要求，结合我市实际，设立专利工作专项资金。为规范专项资金的管理，制定本办法。</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27"/>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b/>
          <w:caps w:val="0"/>
          <w:color w:val="333333"/>
          <w:spacing w:val="0"/>
          <w:sz w:val="24"/>
          <w:szCs w:val="24"/>
          <w:bdr w:val="none" w:color="333333" w:sz="0" w:space="0"/>
          <w:vertAlign w:val="baseline"/>
        </w:rPr>
        <w:t>第二条</w:t>
      </w:r>
      <w:r>
        <w:rPr>
          <w:rFonts w:hint="eastAsia" w:ascii="宋体" w:hAnsi="宋体" w:eastAsia="宋体" w:cs="宋体"/>
          <w:b/>
          <w:caps w:val="0"/>
          <w:color w:val="333333"/>
          <w:spacing w:val="0"/>
          <w:sz w:val="24"/>
          <w:szCs w:val="24"/>
          <w:bdr w:val="none" w:color="auto" w:sz="0" w:space="0"/>
          <w:vertAlign w:val="baseline"/>
        </w:rPr>
        <w:t> </w:t>
      </w:r>
      <w:r>
        <w:rPr>
          <w:rFonts w:hint="eastAsia" w:ascii="宋体" w:hAnsi="宋体" w:eastAsia="宋体" w:cs="宋体"/>
          <w:caps w:val="0"/>
          <w:color w:val="333333"/>
          <w:spacing w:val="0"/>
          <w:sz w:val="24"/>
          <w:szCs w:val="24"/>
          <w:bdr w:val="none" w:color="333333" w:sz="0" w:space="0"/>
          <w:vertAlign w:val="baseline"/>
        </w:rPr>
        <w:t>我市专利工作专项资金的申报、评审、监督管理等工作适用本办法。</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27"/>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b/>
          <w:caps w:val="0"/>
          <w:color w:val="333333"/>
          <w:spacing w:val="0"/>
          <w:sz w:val="24"/>
          <w:szCs w:val="24"/>
          <w:bdr w:val="none" w:color="333333" w:sz="0" w:space="0"/>
          <w:vertAlign w:val="baseline"/>
        </w:rPr>
        <w:t>第三条</w:t>
      </w:r>
      <w:r>
        <w:rPr>
          <w:rFonts w:hint="eastAsia" w:ascii="宋体" w:hAnsi="宋体" w:eastAsia="宋体" w:cs="宋体"/>
          <w:b/>
          <w:caps w:val="0"/>
          <w:color w:val="333333"/>
          <w:spacing w:val="0"/>
          <w:sz w:val="24"/>
          <w:szCs w:val="24"/>
          <w:bdr w:val="none" w:color="auto" w:sz="0" w:space="0"/>
          <w:vertAlign w:val="baseline"/>
        </w:rPr>
        <w:t> </w:t>
      </w:r>
      <w:r>
        <w:rPr>
          <w:rFonts w:hint="eastAsia" w:ascii="宋体" w:hAnsi="宋体" w:eastAsia="宋体" w:cs="宋体"/>
          <w:caps w:val="0"/>
          <w:color w:val="333333"/>
          <w:spacing w:val="0"/>
          <w:sz w:val="24"/>
          <w:szCs w:val="24"/>
          <w:bdr w:val="none" w:color="333333" w:sz="0" w:space="0"/>
          <w:vertAlign w:val="baseline"/>
        </w:rPr>
        <w:t>本办法所称专利工作专项资金(以下简称专项资金)，是指市财政预算安排用于促进我市专利创造、运用、保护、管理和服务工作，推进知识产权战略实施的专项资金，包括资助资金和发展资金。专项资金预算随市市场监督管理局（知识产权局）部门预算一起编制。</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27"/>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b/>
          <w:caps w:val="0"/>
          <w:color w:val="333333"/>
          <w:spacing w:val="0"/>
          <w:sz w:val="24"/>
          <w:szCs w:val="24"/>
          <w:bdr w:val="none" w:color="333333" w:sz="0" w:space="0"/>
          <w:vertAlign w:val="baseline"/>
        </w:rPr>
        <w:t>第四条</w:t>
      </w:r>
      <w:r>
        <w:rPr>
          <w:rFonts w:hint="eastAsia" w:ascii="宋体" w:hAnsi="宋体" w:eastAsia="宋体" w:cs="宋体"/>
          <w:b/>
          <w:caps w:val="0"/>
          <w:color w:val="333333"/>
          <w:spacing w:val="0"/>
          <w:sz w:val="24"/>
          <w:szCs w:val="24"/>
          <w:bdr w:val="none" w:color="auto" w:sz="0" w:space="0"/>
          <w:vertAlign w:val="baseline"/>
        </w:rPr>
        <w:t> </w:t>
      </w:r>
      <w:r>
        <w:rPr>
          <w:rFonts w:hint="eastAsia" w:ascii="宋体" w:hAnsi="宋体" w:eastAsia="宋体" w:cs="宋体"/>
          <w:caps w:val="0"/>
          <w:color w:val="333333"/>
          <w:spacing w:val="0"/>
          <w:sz w:val="24"/>
          <w:szCs w:val="24"/>
          <w:bdr w:val="none" w:color="333333" w:sz="0" w:space="0"/>
          <w:vertAlign w:val="baseline"/>
        </w:rPr>
        <w:t>专项资金的使用和管理遵循公开公正、科学管理、注重绩效、强化监督的原则，体现财政资金的引导和带动作用。</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27"/>
        <w:jc w:val="both"/>
        <w:textAlignment w:val="baseline"/>
        <w:rPr>
          <w:rFonts w:hint="default" w:ascii="Times New Roman" w:hAnsi="Times New Roman" w:cs="Times New Roman"/>
          <w:caps w:val="0"/>
          <w:color w:val="333333"/>
          <w:spacing w:val="0"/>
          <w:sz w:val="21"/>
          <w:szCs w:val="21"/>
        </w:rPr>
      </w:pPr>
      <w:r>
        <w:rPr>
          <w:rFonts w:hint="default" w:ascii="Times New Roman" w:hAnsi="Times New Roman" w:cs="Times New Roman"/>
          <w:caps w:val="0"/>
          <w:color w:val="333333"/>
          <w:spacing w:val="0"/>
          <w:sz w:val="24"/>
          <w:szCs w:val="24"/>
          <w:bdr w:val="none" w:color="333333" w:sz="0" w:space="0"/>
          <w:vertAlign w:val="baseline"/>
        </w:rPr>
        <w:t> </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0"/>
        <w:jc w:val="center"/>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caps w:val="0"/>
          <w:color w:val="333333"/>
          <w:spacing w:val="0"/>
          <w:sz w:val="24"/>
          <w:szCs w:val="24"/>
          <w:bdr w:val="none" w:color="333333" w:sz="0" w:space="0"/>
          <w:vertAlign w:val="baseline"/>
        </w:rPr>
        <w:t>第二章  资助资金</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0"/>
        <w:jc w:val="center"/>
        <w:textAlignment w:val="baseline"/>
        <w:rPr>
          <w:rFonts w:hint="default" w:ascii="Times New Roman" w:hAnsi="Times New Roman" w:cs="Times New Roman"/>
          <w:caps w:val="0"/>
          <w:color w:val="333333"/>
          <w:spacing w:val="0"/>
          <w:sz w:val="21"/>
          <w:szCs w:val="21"/>
        </w:rPr>
      </w:pPr>
      <w:r>
        <w:rPr>
          <w:rFonts w:hint="default" w:ascii="Times New Roman" w:hAnsi="Times New Roman" w:cs="Times New Roman"/>
          <w:caps w:val="0"/>
          <w:color w:val="333333"/>
          <w:spacing w:val="0"/>
          <w:sz w:val="24"/>
          <w:szCs w:val="24"/>
          <w:bdr w:val="none" w:color="333333" w:sz="0" w:space="0"/>
          <w:vertAlign w:val="baseline"/>
        </w:rPr>
        <w:t> </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27"/>
        <w:jc w:val="left"/>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b/>
          <w:caps w:val="0"/>
          <w:color w:val="333333"/>
          <w:spacing w:val="0"/>
          <w:sz w:val="24"/>
          <w:szCs w:val="24"/>
          <w:bdr w:val="none" w:color="333333" w:sz="0" w:space="0"/>
          <w:vertAlign w:val="baseline"/>
        </w:rPr>
        <w:t>第五条</w:t>
      </w:r>
      <w:r>
        <w:rPr>
          <w:rFonts w:hint="eastAsia" w:ascii="宋体" w:hAnsi="宋体" w:eastAsia="宋体" w:cs="宋体"/>
          <w:b/>
          <w:caps w:val="0"/>
          <w:color w:val="333333"/>
          <w:spacing w:val="0"/>
          <w:sz w:val="24"/>
          <w:szCs w:val="24"/>
          <w:bdr w:val="none" w:color="auto" w:sz="0" w:space="0"/>
          <w:vertAlign w:val="baseline"/>
        </w:rPr>
        <w:t> </w:t>
      </w:r>
      <w:r>
        <w:rPr>
          <w:rFonts w:hint="eastAsia" w:ascii="宋体" w:hAnsi="宋体" w:eastAsia="宋体" w:cs="宋体"/>
          <w:caps w:val="0"/>
          <w:color w:val="333333"/>
          <w:spacing w:val="0"/>
          <w:sz w:val="24"/>
          <w:szCs w:val="24"/>
          <w:bdr w:val="none" w:color="333333" w:sz="0" w:space="0"/>
          <w:vertAlign w:val="baseline"/>
        </w:rPr>
        <w:t>资助资金主要用于资助上一年度获得国内外发明专利权和申请PCT专利的我市行政区域内的单位和个人。</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40"/>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b/>
          <w:caps w:val="0"/>
          <w:color w:val="333333"/>
          <w:spacing w:val="0"/>
          <w:sz w:val="24"/>
          <w:szCs w:val="24"/>
          <w:bdr w:val="none" w:color="333333" w:sz="0" w:space="0"/>
          <w:vertAlign w:val="baseline"/>
        </w:rPr>
        <w:t>第六条</w:t>
      </w:r>
      <w:r>
        <w:rPr>
          <w:rFonts w:hint="eastAsia" w:ascii="宋体" w:hAnsi="宋体" w:eastAsia="宋体" w:cs="宋体"/>
          <w:b/>
          <w:caps w:val="0"/>
          <w:color w:val="333333"/>
          <w:spacing w:val="0"/>
          <w:sz w:val="24"/>
          <w:szCs w:val="24"/>
          <w:bdr w:val="none" w:color="auto" w:sz="0" w:space="0"/>
          <w:vertAlign w:val="baseline"/>
        </w:rPr>
        <w:t> </w:t>
      </w:r>
      <w:r>
        <w:rPr>
          <w:rFonts w:hint="eastAsia" w:ascii="宋体" w:hAnsi="宋体" w:eastAsia="宋体" w:cs="宋体"/>
          <w:caps w:val="0"/>
          <w:color w:val="333333"/>
          <w:spacing w:val="0"/>
          <w:sz w:val="24"/>
          <w:szCs w:val="24"/>
          <w:bdr w:val="none" w:color="333333" w:sz="0" w:space="0"/>
          <w:vertAlign w:val="baseline"/>
        </w:rPr>
        <w:t>对上一年度国内外发明专利获得授权或PCT专利申请进入国家阶段（国外）或国内发明专利维持6年以上的专利权人（或申请人）进行资助，第一专利权人（或申请人）地址必须在我市行政区域内，且专利权人（或申请人）应符合下列条件之一：</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40"/>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caps w:val="0"/>
          <w:color w:val="333333"/>
          <w:spacing w:val="0"/>
          <w:sz w:val="24"/>
          <w:szCs w:val="24"/>
          <w:bdr w:val="none" w:color="333333" w:sz="0" w:space="0"/>
          <w:vertAlign w:val="baseline"/>
        </w:rPr>
        <w:t>（一）注册地址在我市行政区域内的企事业单位、社会团体及其它组织；</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40"/>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caps w:val="0"/>
          <w:color w:val="333333"/>
          <w:spacing w:val="0"/>
          <w:sz w:val="24"/>
          <w:szCs w:val="24"/>
          <w:bdr w:val="none" w:color="333333" w:sz="0" w:space="0"/>
          <w:vertAlign w:val="baseline"/>
        </w:rPr>
        <w:t>（二）具有我市户籍，或在我市工作且居住地址在我市行政区域内的个人；</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40"/>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caps w:val="0"/>
          <w:color w:val="333333"/>
          <w:spacing w:val="0"/>
          <w:sz w:val="24"/>
          <w:szCs w:val="24"/>
          <w:bdr w:val="none" w:color="333333" w:sz="0" w:space="0"/>
          <w:vertAlign w:val="baseline"/>
        </w:rPr>
        <w:t>（三）在我市全日制学校学习的学生。</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27"/>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b/>
          <w:caps w:val="0"/>
          <w:color w:val="333333"/>
          <w:spacing w:val="0"/>
          <w:sz w:val="24"/>
          <w:szCs w:val="24"/>
          <w:bdr w:val="none" w:color="333333" w:sz="0" w:space="0"/>
          <w:vertAlign w:val="baseline"/>
        </w:rPr>
        <w:t>第七条</w:t>
      </w:r>
      <w:r>
        <w:rPr>
          <w:rFonts w:hint="eastAsia" w:ascii="宋体" w:hAnsi="宋体" w:eastAsia="宋体" w:cs="宋体"/>
          <w:b/>
          <w:caps w:val="0"/>
          <w:color w:val="333333"/>
          <w:spacing w:val="0"/>
          <w:sz w:val="24"/>
          <w:szCs w:val="24"/>
          <w:bdr w:val="none" w:color="auto" w:sz="0" w:space="0"/>
          <w:vertAlign w:val="baseline"/>
        </w:rPr>
        <w:t> </w:t>
      </w:r>
      <w:r>
        <w:rPr>
          <w:rFonts w:hint="eastAsia" w:ascii="宋体" w:hAnsi="宋体" w:eastAsia="宋体" w:cs="宋体"/>
          <w:caps w:val="0"/>
          <w:color w:val="333333"/>
          <w:spacing w:val="0"/>
          <w:sz w:val="24"/>
          <w:szCs w:val="24"/>
          <w:bdr w:val="none" w:color="333333" w:sz="0" w:space="0"/>
          <w:vertAlign w:val="baseline"/>
        </w:rPr>
        <w:t>专利资助的项目和金额如下：</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40"/>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caps w:val="0"/>
          <w:color w:val="333333"/>
          <w:spacing w:val="0"/>
          <w:sz w:val="24"/>
          <w:szCs w:val="24"/>
          <w:bdr w:val="none" w:color="333333" w:sz="0" w:space="0"/>
          <w:vertAlign w:val="baseline"/>
        </w:rPr>
        <w:t>（一）国内（包括港澳台）发明专利授权</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40"/>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caps w:val="0"/>
          <w:color w:val="333333"/>
          <w:spacing w:val="0"/>
          <w:sz w:val="24"/>
          <w:szCs w:val="24"/>
          <w:bdr w:val="none" w:color="333333" w:sz="0" w:space="0"/>
          <w:vertAlign w:val="baseline"/>
        </w:rPr>
        <w:t>对职务发明专利，资助3,000元/件；对非职务发明专利，资助2,000元/件；获国家知识产权局费用减缴的发明专利，资助500元/件；对委托专利代理机构的，增加资助2,000元/件。</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40"/>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caps w:val="0"/>
          <w:color w:val="333333"/>
          <w:spacing w:val="0"/>
          <w:sz w:val="24"/>
          <w:szCs w:val="24"/>
          <w:bdr w:val="none" w:color="333333" w:sz="0" w:space="0"/>
          <w:vertAlign w:val="baseline"/>
        </w:rPr>
        <w:t>（二）国外发明专利授权</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40"/>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caps w:val="0"/>
          <w:color w:val="333333"/>
          <w:spacing w:val="0"/>
          <w:sz w:val="24"/>
          <w:szCs w:val="24"/>
          <w:bdr w:val="none" w:color="333333" w:sz="0" w:space="0"/>
          <w:vertAlign w:val="baseline"/>
        </w:rPr>
        <w:t>获得美国、日本、英国、欧盟等国家或地区发明专利授权的，资助20,000元/件；获得其他国家或地区发明专利的，资助10,000元/件。每件专利资助总额不超过40,000元。</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40"/>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caps w:val="0"/>
          <w:color w:val="333333"/>
          <w:spacing w:val="0"/>
          <w:sz w:val="24"/>
          <w:szCs w:val="24"/>
          <w:bdr w:val="none" w:color="333333" w:sz="0" w:space="0"/>
          <w:vertAlign w:val="baseline"/>
        </w:rPr>
        <w:t>（三）PCT专利申请</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40"/>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caps w:val="0"/>
          <w:color w:val="333333"/>
          <w:spacing w:val="0"/>
          <w:sz w:val="24"/>
          <w:szCs w:val="24"/>
          <w:bdr w:val="none" w:color="333333" w:sz="0" w:space="0"/>
          <w:vertAlign w:val="baseline"/>
        </w:rPr>
        <w:t>通过PCT途径申请专利并进入国家阶段（国外），是职务申请人的，资助10,000元/件；是非职务申请人的，资助5,000元/件。</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40"/>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caps w:val="0"/>
          <w:color w:val="333333"/>
          <w:spacing w:val="0"/>
          <w:sz w:val="24"/>
          <w:szCs w:val="24"/>
          <w:bdr w:val="none" w:color="333333" w:sz="0" w:space="0"/>
          <w:vertAlign w:val="baseline"/>
        </w:rPr>
        <w:t>（四）发明专利年费</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40"/>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caps w:val="0"/>
          <w:color w:val="333333"/>
          <w:spacing w:val="0"/>
          <w:sz w:val="24"/>
          <w:szCs w:val="24"/>
          <w:bdr w:val="none" w:color="333333" w:sz="0" w:space="0"/>
          <w:vertAlign w:val="baseline"/>
        </w:rPr>
        <w:t>对申请资助时处于有效状态的发明专利，自申请之日起维持到第6年的，资助1,800元/件；或维持到第8年及以上的，资助4,800元/件。获国家知识产权局费用减缴的，自申请之日起维持到第6年的，资助700元/件；或维持到第8年及以上的，资助2,800元/件。一件发明专利只能领取一次年费资助。</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27"/>
        <w:jc w:val="left"/>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caps w:val="0"/>
          <w:color w:val="333333"/>
          <w:spacing w:val="0"/>
          <w:sz w:val="24"/>
          <w:szCs w:val="24"/>
          <w:bdr w:val="none" w:color="333333" w:sz="0" w:space="0"/>
          <w:vertAlign w:val="baseline"/>
        </w:rPr>
        <w:t>（五）资助对象所获得的各级资助总额不得高于其缴纳的官方规定费用和专利代理服务费总额，且企事业单位年度获得市级专利资助资金总额不超过1,000万元；个人年度获得市级专利资助资金总额不超过20万元。</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40"/>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b/>
          <w:caps w:val="0"/>
          <w:color w:val="333333"/>
          <w:spacing w:val="0"/>
          <w:sz w:val="24"/>
          <w:szCs w:val="24"/>
          <w:bdr w:val="none" w:color="333333" w:sz="0" w:space="0"/>
          <w:vertAlign w:val="baseline"/>
        </w:rPr>
        <w:t>第八条</w:t>
      </w:r>
      <w:r>
        <w:rPr>
          <w:rFonts w:hint="eastAsia" w:ascii="宋体" w:hAnsi="宋体" w:eastAsia="宋体" w:cs="宋体"/>
          <w:b/>
          <w:caps w:val="0"/>
          <w:color w:val="333333"/>
          <w:spacing w:val="0"/>
          <w:sz w:val="24"/>
          <w:szCs w:val="24"/>
          <w:bdr w:val="none" w:color="auto" w:sz="0" w:space="0"/>
          <w:vertAlign w:val="baseline"/>
        </w:rPr>
        <w:t> </w:t>
      </w:r>
      <w:r>
        <w:rPr>
          <w:rFonts w:hint="eastAsia" w:ascii="宋体" w:hAnsi="宋体" w:eastAsia="宋体" w:cs="宋体"/>
          <w:caps w:val="0"/>
          <w:color w:val="333333"/>
          <w:spacing w:val="0"/>
          <w:sz w:val="24"/>
          <w:szCs w:val="24"/>
          <w:bdr w:val="none" w:color="333333" w:sz="0" w:space="0"/>
          <w:vertAlign w:val="baseline"/>
        </w:rPr>
        <w:t>本办法第七条所述资助资金，由申报人通过网上申报系统提交申请资料，市市场监督管理局（知识产权局）进行审核，编制资助资金发放计划，经公示无异议后，于每年4月、7月按照市财政资金管理的有关规定拨付资金。</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40"/>
        <w:jc w:val="both"/>
        <w:textAlignment w:val="baseline"/>
        <w:rPr>
          <w:rFonts w:hint="default" w:ascii="Times New Roman" w:hAnsi="Times New Roman" w:cs="Times New Roman"/>
          <w:caps w:val="0"/>
          <w:color w:val="333333"/>
          <w:spacing w:val="0"/>
          <w:sz w:val="21"/>
          <w:szCs w:val="21"/>
        </w:rPr>
      </w:pPr>
      <w:r>
        <w:rPr>
          <w:rFonts w:hint="default" w:ascii="Times New Roman" w:hAnsi="Times New Roman" w:cs="Times New Roman"/>
          <w:caps w:val="0"/>
          <w:color w:val="333333"/>
          <w:spacing w:val="0"/>
          <w:sz w:val="24"/>
          <w:szCs w:val="24"/>
          <w:bdr w:val="none" w:color="333333" w:sz="0" w:space="0"/>
          <w:vertAlign w:val="baseline"/>
        </w:rPr>
        <w:t> </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0"/>
        <w:jc w:val="center"/>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caps w:val="0"/>
          <w:color w:val="333333"/>
          <w:spacing w:val="0"/>
          <w:sz w:val="24"/>
          <w:szCs w:val="24"/>
          <w:bdr w:val="none" w:color="333333" w:sz="0" w:space="0"/>
          <w:vertAlign w:val="baseline"/>
        </w:rPr>
        <w:t>第三章  发展资金</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0"/>
        <w:jc w:val="center"/>
        <w:textAlignment w:val="baseline"/>
        <w:rPr>
          <w:rFonts w:hint="default" w:ascii="Times New Roman" w:hAnsi="Times New Roman" w:cs="Times New Roman"/>
          <w:caps w:val="0"/>
          <w:color w:val="333333"/>
          <w:spacing w:val="0"/>
          <w:sz w:val="21"/>
          <w:szCs w:val="21"/>
        </w:rPr>
      </w:pPr>
      <w:r>
        <w:rPr>
          <w:rFonts w:hint="default" w:ascii="Times New Roman" w:hAnsi="Times New Roman" w:cs="Times New Roman"/>
          <w:caps w:val="0"/>
          <w:color w:val="333333"/>
          <w:spacing w:val="0"/>
          <w:sz w:val="24"/>
          <w:szCs w:val="24"/>
          <w:bdr w:val="none" w:color="333333" w:sz="0" w:space="0"/>
          <w:vertAlign w:val="baseline"/>
        </w:rPr>
        <w:t> </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27"/>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b/>
          <w:caps w:val="0"/>
          <w:color w:val="333333"/>
          <w:spacing w:val="0"/>
          <w:sz w:val="24"/>
          <w:szCs w:val="24"/>
          <w:bdr w:val="none" w:color="333333" w:sz="0" w:space="0"/>
          <w:vertAlign w:val="baseline"/>
        </w:rPr>
        <w:t>第九条</w:t>
      </w:r>
      <w:r>
        <w:rPr>
          <w:rFonts w:hint="eastAsia" w:ascii="宋体" w:hAnsi="宋体" w:eastAsia="宋体" w:cs="宋体"/>
          <w:b/>
          <w:caps w:val="0"/>
          <w:color w:val="333333"/>
          <w:spacing w:val="0"/>
          <w:sz w:val="24"/>
          <w:szCs w:val="24"/>
          <w:bdr w:val="none" w:color="auto" w:sz="0" w:space="0"/>
          <w:vertAlign w:val="baseline"/>
        </w:rPr>
        <w:t> </w:t>
      </w:r>
      <w:r>
        <w:rPr>
          <w:rFonts w:hint="eastAsia" w:ascii="宋体" w:hAnsi="宋体" w:eastAsia="宋体" w:cs="宋体"/>
          <w:caps w:val="0"/>
          <w:color w:val="333333"/>
          <w:spacing w:val="0"/>
          <w:sz w:val="24"/>
          <w:szCs w:val="24"/>
          <w:bdr w:val="none" w:color="333333" w:sz="0" w:space="0"/>
          <w:vertAlign w:val="baseline"/>
        </w:rPr>
        <w:t>本发展资金由市市场监督管理局（知识产权局）根据当年工作需要和市财政局批复的资金预算制定具体的资金使用计划，报市政府分管领导批准。发展资金应当用于以下工作：</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27"/>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caps w:val="0"/>
          <w:color w:val="333333"/>
          <w:spacing w:val="0"/>
          <w:sz w:val="24"/>
          <w:szCs w:val="24"/>
          <w:bdr w:val="none" w:color="333333" w:sz="0" w:space="0"/>
          <w:vertAlign w:val="baseline"/>
        </w:rPr>
        <w:t>（一）专利运用。主要用于支持专利技术产业化、培育高价值专利和专利密集型产业，促进知识产权交易、质押融资、评估、保险和投融资等运营业态发展，开展专利预警和产业导航，开展国家、省、市部署的专利运用专项工作等。</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27"/>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caps w:val="0"/>
          <w:color w:val="333333"/>
          <w:spacing w:val="0"/>
          <w:sz w:val="24"/>
          <w:szCs w:val="24"/>
          <w:bdr w:val="none" w:color="333333" w:sz="0" w:space="0"/>
          <w:vertAlign w:val="baseline"/>
        </w:rPr>
        <w:t>（二）专利保护。主要用于支持国内外专利维权及维权服务、维权援助机构建设、重大知识产权保护、多元化知识产权保护机制建设等工作。</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40"/>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caps w:val="0"/>
          <w:color w:val="333333"/>
          <w:spacing w:val="0"/>
          <w:sz w:val="24"/>
          <w:szCs w:val="24"/>
          <w:bdr w:val="none" w:color="333333" w:sz="0" w:space="0"/>
          <w:vertAlign w:val="baseline"/>
        </w:rPr>
        <w:t>（三）专利管理。主要用于推进区域、园区及企事业单位专利工作，开展企业和行业知识产权培育，贯彻企事业单位知识产权管理规范等工作。</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40"/>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caps w:val="0"/>
          <w:color w:val="333333"/>
          <w:spacing w:val="0"/>
          <w:sz w:val="24"/>
          <w:szCs w:val="24"/>
          <w:bdr w:val="none" w:color="333333" w:sz="0" w:space="0"/>
          <w:vertAlign w:val="baseline"/>
        </w:rPr>
        <w:t>（四）知识产权服务。主要用于促进知识产权服务业发展，支持知识产权服务平台建设和专利信息利用，开展重大经济和科技活动知识产权评议，开展知识产权宣传培训及文化建设等公共服务。</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40"/>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b/>
          <w:caps w:val="0"/>
          <w:color w:val="333333"/>
          <w:spacing w:val="0"/>
          <w:sz w:val="24"/>
          <w:szCs w:val="24"/>
          <w:bdr w:val="none" w:color="333333" w:sz="0" w:space="0"/>
          <w:vertAlign w:val="baseline"/>
        </w:rPr>
        <w:t>第十条</w:t>
      </w:r>
      <w:r>
        <w:rPr>
          <w:rFonts w:hint="eastAsia" w:ascii="宋体" w:hAnsi="宋体" w:eastAsia="宋体" w:cs="宋体"/>
          <w:b/>
          <w:caps w:val="0"/>
          <w:color w:val="333333"/>
          <w:spacing w:val="0"/>
          <w:sz w:val="24"/>
          <w:szCs w:val="24"/>
          <w:bdr w:val="none" w:color="auto" w:sz="0" w:space="0"/>
          <w:vertAlign w:val="baseline"/>
        </w:rPr>
        <w:t> </w:t>
      </w:r>
      <w:r>
        <w:rPr>
          <w:rFonts w:hint="eastAsia" w:ascii="宋体" w:hAnsi="宋体" w:eastAsia="宋体" w:cs="宋体"/>
          <w:caps w:val="0"/>
          <w:color w:val="333333"/>
          <w:spacing w:val="0"/>
          <w:sz w:val="24"/>
          <w:szCs w:val="24"/>
          <w:bdr w:val="none" w:color="333333" w:sz="0" w:space="0"/>
          <w:vertAlign w:val="baseline"/>
        </w:rPr>
        <w:t>发展资金申报人应为注册地址在我市行政区域内的企事业单位、社会团体及其他组织，有良好的社会信誉，依法经营，规范管理，具有健全的核算和会计制度，严格执行国家、省、市有关专利方面的法律法规，并且符合下列各类专项条件之一：</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0"/>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caps w:val="0"/>
          <w:color w:val="333333"/>
          <w:spacing w:val="0"/>
          <w:sz w:val="24"/>
          <w:szCs w:val="24"/>
          <w:bdr w:val="none" w:color="333333" w:sz="0" w:space="0"/>
          <w:vertAlign w:val="baseline"/>
        </w:rPr>
        <w:t>    （一）专利运用。项目符合我市产业政策，通过核心专利的产业化或运营取得显著的经济社会效益；或获得投融资、投保专利保险；或培育高价值专利和专利密集型产业。</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40"/>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caps w:val="0"/>
          <w:color w:val="333333"/>
          <w:spacing w:val="0"/>
          <w:sz w:val="24"/>
          <w:szCs w:val="24"/>
          <w:bdr w:val="none" w:color="333333" w:sz="0" w:space="0"/>
          <w:vertAlign w:val="baseline"/>
        </w:rPr>
        <w:t>（二）专利保护。在国内外专利维权中获胜的企事业单位、服务机构；被专利行政管理部门认定为知识产权保护培育、试点、示范单位。</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0"/>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caps w:val="0"/>
          <w:color w:val="333333"/>
          <w:spacing w:val="0"/>
          <w:sz w:val="24"/>
          <w:szCs w:val="24"/>
          <w:bdr w:val="none" w:color="333333" w:sz="0" w:space="0"/>
          <w:vertAlign w:val="baseline"/>
        </w:rPr>
        <w:t>    （三）专利管理。企事业单位在知识产权方面做出突出成绩，被国家、省、市专利行政管理部门认定为知识产权试点、示范、优势、强企单位；或各类园区、孵化器、众创空间开展知识产权服务；或取得企事业单位知识产权管理规范国家标准认证证书。</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40"/>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caps w:val="0"/>
          <w:color w:val="333333"/>
          <w:spacing w:val="0"/>
          <w:sz w:val="24"/>
          <w:szCs w:val="24"/>
          <w:bdr w:val="none" w:color="333333" w:sz="0" w:space="0"/>
          <w:vertAlign w:val="baseline"/>
        </w:rPr>
        <w:t>（四）知识产权服务。为我市产业发展提供分析评议、信息推送等专利信息服务；或开展重大经济和科技活动知识产权评议；或为专利转让、许可、运营提供服务；或承担知识产权宣传培训、文化建设等任务。</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40"/>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b/>
          <w:caps w:val="0"/>
          <w:color w:val="333333"/>
          <w:spacing w:val="0"/>
          <w:sz w:val="24"/>
          <w:szCs w:val="24"/>
          <w:bdr w:val="none" w:color="333333" w:sz="0" w:space="0"/>
          <w:vertAlign w:val="baseline"/>
        </w:rPr>
        <w:t>第十一条</w:t>
      </w:r>
      <w:r>
        <w:rPr>
          <w:rFonts w:hint="eastAsia" w:ascii="宋体" w:hAnsi="宋体" w:eastAsia="宋体" w:cs="宋体"/>
          <w:b/>
          <w:caps w:val="0"/>
          <w:color w:val="333333"/>
          <w:spacing w:val="0"/>
          <w:sz w:val="24"/>
          <w:szCs w:val="24"/>
          <w:bdr w:val="none" w:color="auto" w:sz="0" w:space="0"/>
          <w:vertAlign w:val="baseline"/>
        </w:rPr>
        <w:t> </w:t>
      </w:r>
      <w:r>
        <w:rPr>
          <w:rFonts w:hint="eastAsia" w:ascii="宋体" w:hAnsi="宋体" w:eastAsia="宋体" w:cs="宋体"/>
          <w:caps w:val="0"/>
          <w:color w:val="333333"/>
          <w:spacing w:val="0"/>
          <w:sz w:val="24"/>
          <w:szCs w:val="24"/>
          <w:bdr w:val="none" w:color="333333" w:sz="0" w:space="0"/>
          <w:vertAlign w:val="baseline"/>
        </w:rPr>
        <w:t>发展资金采取推荐申报的方式，市、区单位申报项目时，应由其主管部门或所在区市场监督管理局（知识产权局）核实申报材料真实性并加具推荐意见后，向市市场监督管理局（知识产权局）提交申报材料。中央和省属驻穗单位可直接提交申报材料。</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40"/>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caps w:val="0"/>
          <w:color w:val="333333"/>
          <w:spacing w:val="0"/>
          <w:sz w:val="24"/>
          <w:szCs w:val="24"/>
          <w:bdr w:val="none" w:color="333333" w:sz="0" w:space="0"/>
          <w:vertAlign w:val="baseline"/>
        </w:rPr>
        <w:t>市市场监督管理局（知识产权局）对申报的项目进行形式审查和受理，对经形式审查不合格、不予受理的项目，说明原因；对符合申报条件的项目采取集体研究、专家评审、招投标等方式确定立项项目名单并提出资金分配方案，经公示后按照市财政资金管理的有关规定拨付资金。</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40"/>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caps w:val="0"/>
          <w:color w:val="333333"/>
          <w:spacing w:val="0"/>
          <w:sz w:val="24"/>
          <w:szCs w:val="24"/>
          <w:bdr w:val="none" w:color="333333" w:sz="0" w:space="0"/>
          <w:vertAlign w:val="baseline"/>
        </w:rPr>
        <w:t>符合政府采购服务条件的，按照《政府采购货物和服务招标投标管理办法》执行。</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40"/>
        <w:jc w:val="both"/>
        <w:textAlignment w:val="baseline"/>
        <w:rPr>
          <w:rFonts w:hint="default" w:ascii="Times New Roman" w:hAnsi="Times New Roman" w:cs="Times New Roman"/>
          <w:caps w:val="0"/>
          <w:color w:val="333333"/>
          <w:spacing w:val="0"/>
          <w:sz w:val="21"/>
          <w:szCs w:val="21"/>
        </w:rPr>
      </w:pPr>
      <w:r>
        <w:rPr>
          <w:rFonts w:hint="default" w:ascii="Times New Roman" w:hAnsi="Times New Roman" w:cs="Times New Roman"/>
          <w:caps w:val="0"/>
          <w:color w:val="333333"/>
          <w:spacing w:val="0"/>
          <w:sz w:val="24"/>
          <w:szCs w:val="24"/>
          <w:bdr w:val="none" w:color="333333" w:sz="0" w:space="0"/>
          <w:vertAlign w:val="baseline"/>
        </w:rPr>
        <w:t> </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0"/>
        <w:jc w:val="center"/>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caps w:val="0"/>
          <w:color w:val="333333"/>
          <w:spacing w:val="0"/>
          <w:sz w:val="24"/>
          <w:szCs w:val="24"/>
          <w:bdr w:val="none" w:color="333333" w:sz="0" w:space="0"/>
          <w:vertAlign w:val="baseline"/>
        </w:rPr>
        <w:t>第四章  监督管理和绩效评价</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0"/>
        <w:jc w:val="center"/>
        <w:textAlignment w:val="baseline"/>
        <w:rPr>
          <w:rFonts w:hint="default" w:ascii="Times New Roman" w:hAnsi="Times New Roman" w:cs="Times New Roman"/>
          <w:caps w:val="0"/>
          <w:color w:val="333333"/>
          <w:spacing w:val="0"/>
          <w:sz w:val="21"/>
          <w:szCs w:val="21"/>
        </w:rPr>
      </w:pPr>
      <w:r>
        <w:rPr>
          <w:rFonts w:hint="default" w:ascii="Times New Roman" w:hAnsi="Times New Roman" w:cs="Times New Roman"/>
          <w:caps w:val="0"/>
          <w:color w:val="333333"/>
          <w:spacing w:val="0"/>
          <w:sz w:val="24"/>
          <w:szCs w:val="24"/>
          <w:bdr w:val="none" w:color="333333" w:sz="0" w:space="0"/>
          <w:vertAlign w:val="baseline"/>
        </w:rPr>
        <w:t> </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40"/>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b/>
          <w:caps w:val="0"/>
          <w:color w:val="333333"/>
          <w:spacing w:val="0"/>
          <w:sz w:val="24"/>
          <w:szCs w:val="24"/>
          <w:bdr w:val="none" w:color="333333" w:sz="0" w:space="0"/>
          <w:vertAlign w:val="baseline"/>
        </w:rPr>
        <w:t>第十二条</w:t>
      </w:r>
      <w:r>
        <w:rPr>
          <w:rFonts w:hint="eastAsia" w:ascii="宋体" w:hAnsi="宋体" w:eastAsia="宋体" w:cs="宋体"/>
          <w:caps w:val="0"/>
          <w:color w:val="333333"/>
          <w:spacing w:val="0"/>
          <w:sz w:val="24"/>
          <w:szCs w:val="24"/>
          <w:bdr w:val="none" w:color="333333" w:sz="0" w:space="0"/>
          <w:vertAlign w:val="baseline"/>
        </w:rPr>
        <w:t> 市市场监督管理局（知识产权局）负责编制年度专项资金的使用计划，制定并发布项目申报指南，受理项目申请，组织评审、公示，下达项目资金使用计划，并按照《广州市财政局关于印发〈广州市预算绩效管理办法〉的通知》（穗财绩〔2014〕59号）和《广州市人民政府办公厅关于印发广州市市级财政专项资金管理办法的通知》（穗府办函〔2017〕306号）开展专项资金绩效评价工作，对项目实施和专项资金使用情况进行检查。项目的受理、评审、检查、验收和绩效评价等管理费用纳入市市场监督管理局（知识产权局）部门预算。</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40"/>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b/>
          <w:caps w:val="0"/>
          <w:color w:val="333333"/>
          <w:spacing w:val="0"/>
          <w:sz w:val="24"/>
          <w:szCs w:val="24"/>
          <w:bdr w:val="none" w:color="333333" w:sz="0" w:space="0"/>
          <w:vertAlign w:val="baseline"/>
        </w:rPr>
        <w:t>第十三条</w:t>
      </w:r>
      <w:r>
        <w:rPr>
          <w:rFonts w:hint="eastAsia" w:ascii="宋体" w:hAnsi="宋体" w:eastAsia="宋体" w:cs="宋体"/>
          <w:caps w:val="0"/>
          <w:color w:val="333333"/>
          <w:spacing w:val="0"/>
          <w:sz w:val="24"/>
          <w:szCs w:val="24"/>
          <w:bdr w:val="none" w:color="333333" w:sz="0" w:space="0"/>
          <w:vertAlign w:val="baseline"/>
        </w:rPr>
        <w:t> 市财政局负责审核年度专项资金预算，并指导业务部门进行项目申报程序检查，防止重复、多头申报，办理专项资金拨付，对专项资金预算执行、绩效评价和财务管理等方面的情况进行监督检查。</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40"/>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b/>
          <w:caps w:val="0"/>
          <w:color w:val="333333"/>
          <w:spacing w:val="0"/>
          <w:sz w:val="24"/>
          <w:szCs w:val="24"/>
          <w:bdr w:val="none" w:color="333333" w:sz="0" w:space="0"/>
          <w:vertAlign w:val="baseline"/>
        </w:rPr>
        <w:t>第十四条</w:t>
      </w:r>
      <w:r>
        <w:rPr>
          <w:rFonts w:hint="eastAsia" w:ascii="宋体" w:hAnsi="宋体" w:eastAsia="宋体" w:cs="宋体"/>
          <w:caps w:val="0"/>
          <w:color w:val="333333"/>
          <w:spacing w:val="0"/>
          <w:sz w:val="24"/>
          <w:szCs w:val="24"/>
          <w:bdr w:val="none" w:color="333333" w:sz="0" w:space="0"/>
          <w:vertAlign w:val="baseline"/>
        </w:rPr>
        <w:t> 专项资金的使用接受审计、纪检监察部门的检查监督。专项资金主管部门工作人员、评审专家在项目评审和资金分配中存在违法、违纪行为的，依照《中华人民共和国公务员法》《行政机关公务员处分条例》《广东省行政过错责任追究暂行办法》等法律法规处理。</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40"/>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b/>
          <w:caps w:val="0"/>
          <w:color w:val="333333"/>
          <w:spacing w:val="0"/>
          <w:sz w:val="24"/>
          <w:szCs w:val="24"/>
          <w:bdr w:val="none" w:color="333333" w:sz="0" w:space="0"/>
          <w:vertAlign w:val="baseline"/>
        </w:rPr>
        <w:t>第十五条</w:t>
      </w:r>
      <w:r>
        <w:rPr>
          <w:rFonts w:hint="eastAsia" w:ascii="宋体" w:hAnsi="宋体" w:eastAsia="宋体" w:cs="宋体"/>
          <w:caps w:val="0"/>
          <w:color w:val="333333"/>
          <w:spacing w:val="0"/>
          <w:sz w:val="24"/>
          <w:szCs w:val="24"/>
          <w:bdr w:val="none" w:color="333333" w:sz="0" w:space="0"/>
          <w:vertAlign w:val="baseline"/>
        </w:rPr>
        <w:t> 发展资金项目承担单位要按合同组织项目实施，配合市财政和知识产权部门的检查和绩效评价工作；无正当理由未能完成项目约定内容的，或者项目到期后拒绝验收的，应追究其违约责任，并取消其以后1～3年内的发展资金申请资格。</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40"/>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caps w:val="0"/>
          <w:color w:val="333333"/>
          <w:spacing w:val="0"/>
          <w:sz w:val="24"/>
          <w:szCs w:val="24"/>
          <w:bdr w:val="none" w:color="333333" w:sz="0" w:space="0"/>
          <w:vertAlign w:val="baseline"/>
        </w:rPr>
        <w:t>在项目实施过程中，因市场变化或其他不可抗拒因素导致项目无法实施或无必要实施的，项目承担单位报市市场监督管理局（知识产权局）核实后，项目资金退回市财政部门。</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40"/>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b/>
          <w:caps w:val="0"/>
          <w:color w:val="333333"/>
          <w:spacing w:val="0"/>
          <w:sz w:val="24"/>
          <w:szCs w:val="24"/>
          <w:bdr w:val="none" w:color="333333" w:sz="0" w:space="0"/>
          <w:vertAlign w:val="baseline"/>
        </w:rPr>
        <w:t>第十六条</w:t>
      </w:r>
      <w:r>
        <w:rPr>
          <w:rFonts w:hint="eastAsia" w:ascii="宋体" w:hAnsi="宋体" w:eastAsia="宋体" w:cs="宋体"/>
          <w:caps w:val="0"/>
          <w:color w:val="333333"/>
          <w:spacing w:val="0"/>
          <w:sz w:val="24"/>
          <w:szCs w:val="24"/>
          <w:bdr w:val="none" w:color="333333" w:sz="0" w:space="0"/>
          <w:vertAlign w:val="baseline"/>
        </w:rPr>
        <w:t> 专利工作专项资金的申请人应如实填报申报资料，对弄虚作假骗取资金的，追回已发放资金，取消其以后1～3年内的专项资金申报资格，并纳入社会征信系统不良记录；对存在非正常专利申请行为的，全额追回已受资助的资金，并将其纳入社会征信系统不良记录;涉嫌犯罪的，移送司法机关，依法追究刑事责任。</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40"/>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caps w:val="0"/>
          <w:color w:val="333333"/>
          <w:spacing w:val="0"/>
          <w:sz w:val="24"/>
          <w:szCs w:val="24"/>
          <w:bdr w:val="none" w:color="333333" w:sz="0" w:space="0"/>
          <w:vertAlign w:val="baseline"/>
        </w:rPr>
        <w:t>专利代理机构协助申请人在申报资金时弄虚作假的，还应按照《专利代理条例》的规定交由相关部门处理。经相关部门认定其行为违法违规的，取消其1～3年专项资金申请资格,并将其违法违规行为纳入社会征信系统不良记录。</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40"/>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b/>
          <w:caps w:val="0"/>
          <w:color w:val="333333"/>
          <w:spacing w:val="0"/>
          <w:sz w:val="24"/>
          <w:szCs w:val="24"/>
          <w:bdr w:val="none" w:color="333333" w:sz="0" w:space="0"/>
          <w:vertAlign w:val="baseline"/>
        </w:rPr>
        <w:t>第十七条</w:t>
      </w:r>
      <w:r>
        <w:rPr>
          <w:rFonts w:hint="eastAsia" w:ascii="宋体" w:hAnsi="宋体" w:eastAsia="宋体" w:cs="宋体"/>
          <w:caps w:val="0"/>
          <w:color w:val="333333"/>
          <w:spacing w:val="0"/>
          <w:sz w:val="24"/>
          <w:szCs w:val="24"/>
          <w:bdr w:val="none" w:color="333333" w:sz="0" w:space="0"/>
          <w:vertAlign w:val="baseline"/>
        </w:rPr>
        <w:t> 属于前补助项目的专利工作专项资金应按合同约定专款专用，对弄虚作假、截留、挪用、侵占项目经费等违反财经纪律的行为，按《财政违法行为处罚处分条例》（国务院令第427号）的有关规定处理；涉嫌犯罪的，移送司法机关，依法追究刑事责任。属于后补助项目的专利工作专项资金按国家、省、市有关财政政策规定处理。</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27"/>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b/>
          <w:caps w:val="0"/>
          <w:color w:val="333333"/>
          <w:spacing w:val="0"/>
          <w:sz w:val="24"/>
          <w:szCs w:val="24"/>
          <w:bdr w:val="none" w:color="333333" w:sz="0" w:space="0"/>
          <w:vertAlign w:val="baseline"/>
        </w:rPr>
        <w:t>第十八条</w:t>
      </w:r>
      <w:r>
        <w:rPr>
          <w:rFonts w:hint="eastAsia" w:ascii="宋体" w:hAnsi="宋体" w:eastAsia="宋体" w:cs="宋体"/>
          <w:caps w:val="0"/>
          <w:color w:val="333333"/>
          <w:spacing w:val="0"/>
          <w:sz w:val="24"/>
          <w:szCs w:val="24"/>
          <w:bdr w:val="none" w:color="333333" w:sz="0" w:space="0"/>
          <w:vertAlign w:val="baseline"/>
        </w:rPr>
        <w:t> 市市场监督管理局（知识产权局）按照《广州市市级财政专项资金管理办法》的有关规定在市市场监督管理局（知识产权局）官方网站和市级专项资金管理平台公开专项资金管理办法、申报指南、申报情况、分配程序和方式、分配结果、绩效评价、监督检查、审计、投诉处理等相关信息，接受社会和群众的监督。</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27"/>
        <w:jc w:val="both"/>
        <w:textAlignment w:val="baseline"/>
        <w:rPr>
          <w:rFonts w:hint="default" w:ascii="Times New Roman" w:hAnsi="Times New Roman" w:cs="Times New Roman"/>
          <w:caps w:val="0"/>
          <w:color w:val="333333"/>
          <w:spacing w:val="0"/>
          <w:sz w:val="21"/>
          <w:szCs w:val="21"/>
        </w:rPr>
      </w:pPr>
      <w:r>
        <w:rPr>
          <w:rFonts w:hint="default" w:ascii="Times New Roman" w:hAnsi="Times New Roman" w:cs="Times New Roman"/>
          <w:caps w:val="0"/>
          <w:color w:val="333333"/>
          <w:spacing w:val="0"/>
          <w:sz w:val="24"/>
          <w:szCs w:val="24"/>
          <w:bdr w:val="none" w:color="333333" w:sz="0" w:space="0"/>
          <w:vertAlign w:val="baseline"/>
        </w:rPr>
        <w:t> </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0"/>
        <w:jc w:val="center"/>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caps w:val="0"/>
          <w:color w:val="333333"/>
          <w:spacing w:val="0"/>
          <w:sz w:val="24"/>
          <w:szCs w:val="24"/>
          <w:bdr w:val="none" w:color="333333" w:sz="0" w:space="0"/>
          <w:vertAlign w:val="baseline"/>
        </w:rPr>
        <w:t>第五章  附则</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0"/>
        <w:jc w:val="center"/>
        <w:textAlignment w:val="baseline"/>
        <w:rPr>
          <w:rFonts w:hint="default" w:ascii="Times New Roman" w:hAnsi="Times New Roman" w:cs="Times New Roman"/>
          <w:caps w:val="0"/>
          <w:color w:val="333333"/>
          <w:spacing w:val="0"/>
          <w:sz w:val="21"/>
          <w:szCs w:val="21"/>
        </w:rPr>
      </w:pPr>
      <w:r>
        <w:rPr>
          <w:rFonts w:hint="default" w:ascii="Times New Roman" w:hAnsi="Times New Roman" w:cs="Times New Roman"/>
          <w:caps w:val="0"/>
          <w:color w:val="333333"/>
          <w:spacing w:val="0"/>
          <w:sz w:val="24"/>
          <w:szCs w:val="24"/>
          <w:bdr w:val="none" w:color="333333" w:sz="0" w:space="0"/>
          <w:vertAlign w:val="baseline"/>
        </w:rPr>
        <w:t> </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27"/>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b/>
          <w:caps w:val="0"/>
          <w:color w:val="333333"/>
          <w:spacing w:val="0"/>
          <w:sz w:val="24"/>
          <w:szCs w:val="24"/>
          <w:bdr w:val="none" w:color="333333" w:sz="0" w:space="0"/>
          <w:vertAlign w:val="baseline"/>
        </w:rPr>
        <w:t>第十九条</w:t>
      </w:r>
      <w:r>
        <w:rPr>
          <w:rFonts w:hint="eastAsia" w:ascii="宋体" w:hAnsi="宋体" w:eastAsia="宋体" w:cs="宋体"/>
          <w:b/>
          <w:caps w:val="0"/>
          <w:color w:val="333333"/>
          <w:spacing w:val="0"/>
          <w:sz w:val="24"/>
          <w:szCs w:val="24"/>
          <w:bdr w:val="none" w:color="auto" w:sz="0" w:space="0"/>
          <w:vertAlign w:val="baseline"/>
        </w:rPr>
        <w:t> </w:t>
      </w:r>
      <w:r>
        <w:rPr>
          <w:rFonts w:hint="eastAsia" w:ascii="宋体" w:hAnsi="宋体" w:eastAsia="宋体" w:cs="宋体"/>
          <w:caps w:val="0"/>
          <w:color w:val="333333"/>
          <w:spacing w:val="0"/>
          <w:sz w:val="24"/>
          <w:szCs w:val="24"/>
          <w:bdr w:val="none" w:color="333333" w:sz="0" w:space="0"/>
          <w:vertAlign w:val="baseline"/>
        </w:rPr>
        <w:t>本办法生效前，已按穗知〔2015〕22号文、穗知规字〔2017〕4号文获得过第7～9年中任一年年费资助或PCT申请资助的专利，不重复进行资助。</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540" w:lineRule="atLeast"/>
        <w:ind w:left="0" w:right="55" w:firstLine="627"/>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b/>
          <w:caps w:val="0"/>
          <w:color w:val="333333"/>
          <w:spacing w:val="0"/>
          <w:sz w:val="24"/>
          <w:szCs w:val="24"/>
          <w:bdr w:val="none" w:color="333333" w:sz="0" w:space="0"/>
          <w:vertAlign w:val="baseline"/>
        </w:rPr>
        <w:t>第二十条</w:t>
      </w:r>
      <w:r>
        <w:rPr>
          <w:rFonts w:hint="eastAsia" w:ascii="宋体" w:hAnsi="宋体" w:eastAsia="宋体" w:cs="宋体"/>
          <w:caps w:val="0"/>
          <w:color w:val="333333"/>
          <w:spacing w:val="0"/>
          <w:sz w:val="24"/>
          <w:szCs w:val="24"/>
          <w:bdr w:val="none" w:color="333333" w:sz="0" w:space="0"/>
          <w:vertAlign w:val="baseline"/>
        </w:rPr>
        <w:t> 本办法自印发之日起施行，有效期五年。原《广州市专利工作专项资金管理办法》（穗知规字〔2017〕4号）同时废止。</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456" w:lineRule="atLeast"/>
        <w:ind w:left="0" w:right="0" w:firstLine="0"/>
        <w:jc w:val="both"/>
        <w:textAlignment w:val="baseline"/>
        <w:rPr>
          <w:rFonts w:hint="default" w:ascii="Times New Roman" w:hAnsi="Times New Roman" w:cs="Times New Roman"/>
          <w:caps w:val="0"/>
          <w:color w:val="333333"/>
          <w:spacing w:val="0"/>
          <w:sz w:val="21"/>
          <w:szCs w:val="21"/>
        </w:rPr>
      </w:pPr>
      <w:r>
        <w:rPr>
          <w:rFonts w:hint="default" w:ascii="Times New Roman" w:hAnsi="Times New Roman" w:cs="Times New Roman"/>
          <w:caps w:val="0"/>
          <w:color w:val="333333"/>
          <w:spacing w:val="0"/>
          <w:sz w:val="24"/>
          <w:szCs w:val="24"/>
          <w:bdr w:val="none" w:color="333333" w:sz="0" w:space="0"/>
          <w:vertAlign w:val="baseline"/>
        </w:rPr>
        <w:t> </w:t>
      </w:r>
    </w:p>
    <w:p>
      <w:pPr>
        <w:pStyle w:val="3"/>
        <w:keepNext w:val="0"/>
        <w:keepLines w:val="0"/>
        <w:widowControl/>
        <w:suppressLineNumbers w:val="0"/>
        <w:pBdr>
          <w:top w:val="none" w:color="333333" w:sz="0" w:space="0"/>
          <w:left w:val="none" w:color="333333" w:sz="0" w:space="0"/>
          <w:bottom w:val="none" w:color="333333" w:sz="0" w:space="0"/>
          <w:right w:val="none" w:color="333333" w:sz="0" w:space="0"/>
        </w:pBdr>
        <w:wordWrap/>
        <w:bidi w:val="0"/>
        <w:spacing w:before="0" w:beforeAutospacing="0" w:after="0" w:afterAutospacing="0" w:line="456" w:lineRule="atLeast"/>
        <w:ind w:left="0" w:right="0" w:firstLine="0"/>
        <w:jc w:val="both"/>
        <w:textAlignment w:val="baseline"/>
        <w:rPr>
          <w:rFonts w:hint="default" w:ascii="Times New Roman" w:hAnsi="Times New Roman" w:cs="Times New Roman"/>
          <w:caps w:val="0"/>
          <w:color w:val="333333"/>
          <w:spacing w:val="0"/>
          <w:sz w:val="21"/>
          <w:szCs w:val="21"/>
        </w:rPr>
      </w:pPr>
      <w:r>
        <w:rPr>
          <w:rFonts w:hint="eastAsia" w:ascii="宋体" w:hAnsi="宋体" w:eastAsia="宋体" w:cs="宋体"/>
          <w:caps w:val="0"/>
          <w:color w:val="333333"/>
          <w:spacing w:val="0"/>
          <w:sz w:val="24"/>
          <w:szCs w:val="24"/>
          <w:bdr w:val="none" w:color="333333" w:sz="0" w:space="0"/>
          <w:vertAlign w:val="baseline"/>
        </w:rPr>
        <w:t>公开方式：主动公开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13D05"/>
    <w:rsid w:val="13513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2020-09-03T01:42:00Z</dcterms:created>
  <dc:creator>曾小二</dc:creator>
  <cp:lastModifiedBy>曾小二</cp:lastModifiedBy>
  <dcterms:modified xsi:type="dcterms:W3CDTF">2020-09-03T01:43:53Z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