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Ansi="仿宋_GB2312"/>
          <w:color w:val="000000"/>
          <w:sz w:val="32"/>
          <w:szCs w:val="32"/>
        </w:rPr>
      </w:pPr>
    </w:p>
    <w:p>
      <w:pPr>
        <w:widowControl/>
        <w:ind w:firstLine="567"/>
        <w:jc w:val="left"/>
        <w:rPr>
          <w:rFonts w:hAnsi="宋体" w:cs="宋体"/>
          <w:kern w:val="0"/>
          <w:sz w:val="32"/>
          <w:szCs w:val="32"/>
        </w:rPr>
      </w:pPr>
      <w:r>
        <w:rPr>
          <w:rFonts w:hint="eastAsia" w:hAnsi="仿宋_GB2312"/>
          <w:color w:val="000000"/>
          <w:sz w:val="32"/>
          <w:szCs w:val="32"/>
        </w:rPr>
        <w:t>点击“设置责任科室”，为各个资金方向设置责任科室。</w:t>
      </w:r>
    </w:p>
    <w:p>
      <w:pPr>
        <w:widowControl/>
        <w:ind w:left="-742" w:leftChars="-265" w:firstLine="739" w:firstLineChars="231"/>
        <w:jc w:val="left"/>
        <w:rPr>
          <w:rFonts w:hAnsi="宋体" w:cs="宋体"/>
          <w:kern w:val="0"/>
          <w:sz w:val="32"/>
          <w:szCs w:val="32"/>
        </w:rPr>
      </w:pPr>
      <w:r>
        <w:rPr>
          <w:rFonts w:hAnsi="宋体" w:cs="宋体"/>
          <w:kern w:val="0"/>
          <w:sz w:val="32"/>
          <w:szCs w:val="32"/>
        </w:rPr>
        <w:drawing>
          <wp:inline distT="0" distB="0" distL="114300" distR="114300">
            <wp:extent cx="5227320" cy="2630170"/>
            <wp:effectExtent l="0" t="0" r="11430" b="17780"/>
            <wp:docPr id="1" name="图片 1" descr="C:\Users\pei\AppData\Roaming\Tencent\Users\63342187\QQ\WinTemp\RichOle\F)NO571XX7ZE1B3PHXV95U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pei\AppData\Roaming\Tencent\Users\63342187\QQ\WinTemp\RichOle\F)NO571XX7ZE1B3PHXV95UH.png"/>
                    <pic:cNvPicPr>
                      <a:picLocks noChangeAspect="1"/>
                    </pic:cNvPicPr>
                  </pic:nvPicPr>
                  <pic:blipFill>
                    <a:blip r:embed="rId4"/>
                    <a:stretch>
                      <a:fillRect/>
                    </a:stretch>
                  </pic:blipFill>
                  <pic:spPr>
                    <a:xfrm>
                      <a:off x="0" y="0"/>
                      <a:ext cx="5227320" cy="2630170"/>
                    </a:xfrm>
                    <a:prstGeom prst="rect">
                      <a:avLst/>
                    </a:prstGeom>
                    <a:noFill/>
                    <a:ln>
                      <a:noFill/>
                    </a:ln>
                  </pic:spPr>
                </pic:pic>
              </a:graphicData>
            </a:graphic>
          </wp:inline>
        </w:drawing>
      </w:r>
    </w:p>
    <w:p>
      <w:pPr>
        <w:widowControl/>
        <w:ind w:firstLine="709"/>
        <w:jc w:val="left"/>
        <w:rPr>
          <w:rFonts w:hAnsi="仿宋_GB2312"/>
          <w:color w:val="000000"/>
          <w:sz w:val="32"/>
          <w:szCs w:val="32"/>
        </w:rPr>
      </w:pPr>
      <w:r>
        <w:rPr>
          <w:rFonts w:hint="eastAsia" w:hAnsi="仿宋_GB2312"/>
          <w:color w:val="000000"/>
          <w:sz w:val="32"/>
          <w:szCs w:val="32"/>
        </w:rPr>
        <w:t>点击后打开如下页面，点击“选择”。</w:t>
      </w:r>
      <w:r>
        <w:rPr>
          <w:rFonts w:hAnsi="宋体" w:cs="宋体"/>
          <w:kern w:val="0"/>
          <w:sz w:val="32"/>
          <w:szCs w:val="32"/>
        </w:rPr>
        <w:drawing>
          <wp:inline distT="0" distB="0" distL="114300" distR="114300">
            <wp:extent cx="5304790" cy="2609215"/>
            <wp:effectExtent l="0" t="0" r="10160" b="635"/>
            <wp:docPr id="2" name="图片 2" descr="C:\Users\pei\AppData\Roaming\Tencent\Users\63342187\QQ\WinTemp\RichOle\W)EOJ~KS1IMLG%}UBCJ)66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pei\AppData\Roaming\Tencent\Users\63342187\QQ\WinTemp\RichOle\W)EOJ~KS1IMLG%}UBCJ)66I.png"/>
                    <pic:cNvPicPr>
                      <a:picLocks noChangeAspect="1"/>
                    </pic:cNvPicPr>
                  </pic:nvPicPr>
                  <pic:blipFill>
                    <a:blip r:embed="rId5"/>
                    <a:stretch>
                      <a:fillRect/>
                    </a:stretch>
                  </pic:blipFill>
                  <pic:spPr>
                    <a:xfrm>
                      <a:off x="0" y="0"/>
                      <a:ext cx="5304790" cy="2609215"/>
                    </a:xfrm>
                    <a:prstGeom prst="rect">
                      <a:avLst/>
                    </a:prstGeom>
                    <a:noFill/>
                    <a:ln>
                      <a:noFill/>
                    </a:ln>
                  </pic:spPr>
                </pic:pic>
              </a:graphicData>
            </a:graphic>
          </wp:inline>
        </w:drawing>
      </w:r>
    </w:p>
    <w:p>
      <w:pPr>
        <w:widowControl/>
        <w:ind w:firstLine="709"/>
        <w:jc w:val="left"/>
        <w:rPr>
          <w:rFonts w:hAnsi="仿宋_GB2312"/>
          <w:color w:val="000000"/>
          <w:sz w:val="32"/>
          <w:szCs w:val="32"/>
        </w:rPr>
      </w:pPr>
    </w:p>
    <w:p>
      <w:pPr>
        <w:widowControl/>
        <w:ind w:firstLine="709"/>
        <w:jc w:val="left"/>
        <w:rPr>
          <w:rFonts w:hAnsi="仿宋_GB2312"/>
          <w:color w:val="000000"/>
          <w:sz w:val="32"/>
          <w:szCs w:val="32"/>
        </w:rPr>
      </w:pPr>
    </w:p>
    <w:p>
      <w:pPr>
        <w:widowControl/>
        <w:ind w:firstLine="709"/>
        <w:jc w:val="left"/>
        <w:rPr>
          <w:rFonts w:hAnsi="仿宋_GB2312"/>
          <w:color w:val="000000"/>
          <w:sz w:val="32"/>
          <w:szCs w:val="32"/>
        </w:rPr>
      </w:pPr>
    </w:p>
    <w:p>
      <w:pPr>
        <w:widowControl/>
        <w:ind w:firstLine="709"/>
        <w:jc w:val="left"/>
        <w:rPr>
          <w:rFonts w:hAnsi="仿宋_GB2312"/>
          <w:color w:val="000000"/>
          <w:sz w:val="32"/>
          <w:szCs w:val="32"/>
        </w:rPr>
      </w:pPr>
    </w:p>
    <w:p>
      <w:pPr>
        <w:widowControl/>
        <w:ind w:firstLine="709"/>
        <w:jc w:val="left"/>
        <w:rPr>
          <w:rFonts w:hAnsi="仿宋_GB2312"/>
          <w:color w:val="000000"/>
          <w:sz w:val="32"/>
          <w:szCs w:val="32"/>
        </w:rPr>
      </w:pPr>
    </w:p>
    <w:p>
      <w:pPr>
        <w:widowControl/>
        <w:ind w:firstLine="709"/>
        <w:jc w:val="left"/>
        <w:rPr>
          <w:rFonts w:hAnsi="宋体" w:cs="宋体"/>
          <w:kern w:val="0"/>
          <w:sz w:val="32"/>
          <w:szCs w:val="32"/>
        </w:rPr>
      </w:pPr>
    </w:p>
    <w:p>
      <w:pPr>
        <w:spacing w:line="360" w:lineRule="auto"/>
        <w:ind w:firstLine="709"/>
        <w:rPr>
          <w:rFonts w:hAnsi="仿宋_GB2312"/>
          <w:color w:val="000000"/>
          <w:sz w:val="32"/>
          <w:szCs w:val="32"/>
        </w:rPr>
      </w:pPr>
      <w:r>
        <w:rPr>
          <w:rFonts w:hint="eastAsia" w:hAnsi="仿宋_GB2312"/>
          <w:color w:val="000000"/>
          <w:sz w:val="32"/>
          <w:szCs w:val="32"/>
        </w:rPr>
        <w:t>勾选对应的负责科室，点击“确定”。</w:t>
      </w:r>
    </w:p>
    <w:p>
      <w:pPr>
        <w:widowControl/>
        <w:ind w:left="496" w:leftChars="177"/>
        <w:jc w:val="center"/>
        <w:rPr>
          <w:rFonts w:hAnsi="宋体" w:cs="宋体"/>
          <w:kern w:val="0"/>
          <w:sz w:val="32"/>
          <w:szCs w:val="32"/>
        </w:rPr>
      </w:pPr>
      <w:r>
        <w:rPr>
          <w:rFonts w:hAnsi="宋体" w:cs="宋体"/>
          <w:kern w:val="0"/>
          <w:sz w:val="32"/>
          <w:szCs w:val="32"/>
        </w:rPr>
        <w:drawing>
          <wp:inline distT="0" distB="0" distL="114300" distR="114300">
            <wp:extent cx="3990975" cy="3964305"/>
            <wp:effectExtent l="0" t="0" r="9525" b="17145"/>
            <wp:docPr id="3" name="图片 3" descr="C:\Users\pei\AppData\Roaming\Tencent\Users\63342187\QQ\WinTemp\RichOle\$A9FK$CU43$VZ}K%6]4L_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pei\AppData\Roaming\Tencent\Users\63342187\QQ\WinTemp\RichOle\$A9FK$CU43$VZ}K%6]4L_CM.png"/>
                    <pic:cNvPicPr>
                      <a:picLocks noChangeAspect="1"/>
                    </pic:cNvPicPr>
                  </pic:nvPicPr>
                  <pic:blipFill>
                    <a:blip r:embed="rId6"/>
                    <a:srcRect b="3656"/>
                    <a:stretch>
                      <a:fillRect/>
                    </a:stretch>
                  </pic:blipFill>
                  <pic:spPr>
                    <a:xfrm>
                      <a:off x="0" y="0"/>
                      <a:ext cx="3990975" cy="3964305"/>
                    </a:xfrm>
                    <a:prstGeom prst="rect">
                      <a:avLst/>
                    </a:prstGeom>
                    <a:noFill/>
                    <a:ln>
                      <a:noFill/>
                    </a:ln>
                  </pic:spPr>
                </pic:pic>
              </a:graphicData>
            </a:graphic>
          </wp:inline>
        </w:drawing>
      </w:r>
    </w:p>
    <w:p>
      <w:pPr>
        <w:spacing w:line="360" w:lineRule="auto"/>
        <w:ind w:firstLine="640" w:firstLineChars="200"/>
        <w:rPr>
          <w:rFonts w:hAnsi="仿宋_GB2312"/>
          <w:color w:val="000000"/>
          <w:sz w:val="32"/>
          <w:szCs w:val="32"/>
        </w:rPr>
      </w:pPr>
      <w:r>
        <w:rPr>
          <w:rFonts w:hint="eastAsia" w:hAnsi="仿宋_GB2312"/>
          <w:color w:val="000000"/>
          <w:sz w:val="32"/>
          <w:szCs w:val="32"/>
        </w:rPr>
        <w:t>选择完成后点击“保存”即可。保存设置成功后，企业上报的资金项目会按照不同的专题方向自动分配给对应的责任科室。</w:t>
      </w:r>
    </w:p>
    <w:p>
      <w:pPr>
        <w:widowControl/>
        <w:ind w:left="-619" w:leftChars="-221" w:firstLine="822" w:firstLineChars="257"/>
        <w:jc w:val="left"/>
        <w:rPr>
          <w:rFonts w:hAnsi="宋体" w:cs="宋体"/>
          <w:kern w:val="0"/>
          <w:sz w:val="32"/>
          <w:szCs w:val="32"/>
        </w:rPr>
      </w:pPr>
      <w:r>
        <w:rPr>
          <w:rFonts w:hAnsi="宋体" w:cs="宋体"/>
          <w:kern w:val="0"/>
          <w:sz w:val="32"/>
          <w:szCs w:val="32"/>
        </w:rPr>
        <w:drawing>
          <wp:inline distT="0" distB="0" distL="114300" distR="114300">
            <wp:extent cx="5189220" cy="2620010"/>
            <wp:effectExtent l="0" t="0" r="11430" b="8890"/>
            <wp:docPr id="4" name="图片 4" descr="C:\Users\pei\AppData\Roaming\Tencent\Users\63342187\QQ\WinTemp\RichOle\%@$`YEH~Y(0Y8BK]S_C_V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pei\AppData\Roaming\Tencent\Users\63342187\QQ\WinTemp\RichOle\%@$`YEH~Y(0Y8BK]S_C_VEG.png"/>
                    <pic:cNvPicPr>
                      <a:picLocks noChangeAspect="1"/>
                    </pic:cNvPicPr>
                  </pic:nvPicPr>
                  <pic:blipFill>
                    <a:blip r:embed="rId7"/>
                    <a:stretch>
                      <a:fillRect/>
                    </a:stretch>
                  </pic:blipFill>
                  <pic:spPr>
                    <a:xfrm>
                      <a:off x="0" y="0"/>
                      <a:ext cx="5189220" cy="2620010"/>
                    </a:xfrm>
                    <a:prstGeom prst="rect">
                      <a:avLst/>
                    </a:prstGeom>
                    <a:noFill/>
                    <a:ln>
                      <a:noFill/>
                    </a:ln>
                  </pic:spPr>
                </pic:pic>
              </a:graphicData>
            </a:graphic>
          </wp:inline>
        </w:drawing>
      </w:r>
    </w:p>
    <w:p>
      <w:pPr>
        <w:pStyle w:val="2"/>
        <w:rPr>
          <w:rFonts w:ascii="仿宋_GB2312" w:hAnsi="楷体" w:eastAsia="仿宋_GB2312" w:cs="仿宋_GB2312"/>
          <w:color w:val="000000"/>
          <w:kern w:val="44"/>
          <w:sz w:val="32"/>
        </w:rPr>
      </w:pPr>
      <w:bookmarkStart w:id="0" w:name="_Toc526005370"/>
      <w:r>
        <w:rPr>
          <w:rFonts w:hint="eastAsia" w:ascii="仿宋_GB2312" w:hAnsi="楷体" w:eastAsia="仿宋_GB2312" w:cs="仿宋_GB2312"/>
          <w:color w:val="000000"/>
          <w:kern w:val="44"/>
          <w:sz w:val="32"/>
        </w:rPr>
        <w:t>2、企业管理</w:t>
      </w:r>
      <w:bookmarkEnd w:id="0"/>
    </w:p>
    <w:p>
      <w:pPr>
        <w:pStyle w:val="3"/>
        <w:rPr>
          <w:rFonts w:hAnsi="楷体"/>
          <w:b w:val="0"/>
          <w:sz w:val="32"/>
        </w:rPr>
      </w:pPr>
      <w:bookmarkStart w:id="1" w:name="_2.1、实名认证审核"/>
      <w:bookmarkEnd w:id="1"/>
      <w:bookmarkStart w:id="2" w:name="_Toc526005371"/>
      <w:r>
        <w:rPr>
          <w:rFonts w:hint="eastAsia" w:hAnsi="楷体"/>
          <w:b w:val="0"/>
          <w:sz w:val="32"/>
        </w:rPr>
        <w:t>2.1、实名认证审核</w:t>
      </w:r>
      <w:bookmarkEnd w:id="2"/>
    </w:p>
    <w:p>
      <w:pPr>
        <w:ind w:firstLine="707" w:firstLineChars="221"/>
        <w:rPr>
          <w:sz w:val="32"/>
          <w:szCs w:val="32"/>
        </w:rPr>
      </w:pPr>
      <w:r>
        <w:rPr>
          <w:rFonts w:hint="eastAsia"/>
          <w:sz w:val="32"/>
          <w:szCs w:val="32"/>
        </w:rPr>
        <w:t>企业在注册的时候会提交两份材料，一份是企业营业执照扫描件、一份是实名认证申请书，企业注册后会同时发送实名认证申请给所属区，区的主账号需要对实名认证申请进行审核，具体操作如下：</w:t>
      </w:r>
    </w:p>
    <w:p>
      <w:pPr>
        <w:rPr>
          <w:sz w:val="32"/>
          <w:szCs w:val="32"/>
        </w:rPr>
      </w:pPr>
      <w:r>
        <w:rPr>
          <w:sz w:val="32"/>
          <w:szCs w:val="32"/>
        </w:rPr>
        <w:drawing>
          <wp:inline distT="0" distB="0" distL="114300" distR="114300">
            <wp:extent cx="5240655" cy="3116580"/>
            <wp:effectExtent l="0" t="0" r="1714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40655" cy="3116580"/>
                    </a:xfrm>
                    <a:prstGeom prst="rect">
                      <a:avLst/>
                    </a:prstGeom>
                    <a:noFill/>
                    <a:ln>
                      <a:noFill/>
                    </a:ln>
                  </pic:spPr>
                </pic:pic>
              </a:graphicData>
            </a:graphic>
          </wp:inline>
        </w:drawing>
      </w:r>
    </w:p>
    <w:p>
      <w:pPr>
        <w:ind w:firstLine="709"/>
        <w:rPr>
          <w:sz w:val="32"/>
          <w:szCs w:val="32"/>
        </w:rPr>
      </w:pPr>
      <w:r>
        <w:rPr>
          <w:rFonts w:hint="eastAsia"/>
          <w:sz w:val="32"/>
          <w:szCs w:val="32"/>
        </w:rPr>
        <w:t>依次点击“企业管理”—“实名认证审核”，可以看到待审核的实名认证申请，点击列表后面的“审核”，打开详情页面：</w:t>
      </w:r>
    </w:p>
    <w:p>
      <w:pPr>
        <w:rPr>
          <w:sz w:val="32"/>
          <w:szCs w:val="32"/>
        </w:rPr>
      </w:pPr>
      <w:r>
        <w:rPr>
          <w:sz w:val="32"/>
          <w:szCs w:val="32"/>
        </w:rPr>
        <w:drawing>
          <wp:inline distT="0" distB="0" distL="114300" distR="114300">
            <wp:extent cx="5245735" cy="3186430"/>
            <wp:effectExtent l="0" t="0" r="12065"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45735" cy="3186430"/>
                    </a:xfrm>
                    <a:prstGeom prst="rect">
                      <a:avLst/>
                    </a:prstGeom>
                    <a:noFill/>
                    <a:ln>
                      <a:noFill/>
                    </a:ln>
                  </pic:spPr>
                </pic:pic>
              </a:graphicData>
            </a:graphic>
          </wp:inline>
        </w:drawing>
      </w:r>
    </w:p>
    <w:p>
      <w:pPr>
        <w:ind w:firstLine="707" w:firstLineChars="221"/>
        <w:rPr>
          <w:sz w:val="32"/>
          <w:szCs w:val="32"/>
        </w:rPr>
      </w:pPr>
      <w:r>
        <w:rPr>
          <w:rFonts w:hint="eastAsia"/>
          <w:sz w:val="32"/>
          <w:szCs w:val="32"/>
        </w:rPr>
        <w:t>审核时请注意几下点：</w:t>
      </w:r>
    </w:p>
    <w:p>
      <w:pPr>
        <w:pStyle w:val="7"/>
        <w:numPr>
          <w:ilvl w:val="0"/>
          <w:numId w:val="1"/>
        </w:numPr>
        <w:ind w:firstLineChars="0"/>
        <w:rPr>
          <w:sz w:val="32"/>
          <w:szCs w:val="32"/>
        </w:rPr>
      </w:pPr>
      <w:r>
        <w:rPr>
          <w:rFonts w:hint="eastAsia"/>
          <w:sz w:val="32"/>
          <w:szCs w:val="32"/>
        </w:rPr>
        <w:t>审核企业营业执照真假、是否过期、是否与系统所填写信息一致；</w:t>
      </w:r>
    </w:p>
    <w:p>
      <w:pPr>
        <w:pStyle w:val="7"/>
        <w:numPr>
          <w:ilvl w:val="0"/>
          <w:numId w:val="1"/>
        </w:numPr>
        <w:ind w:firstLineChars="0"/>
        <w:rPr>
          <w:sz w:val="32"/>
          <w:szCs w:val="32"/>
        </w:rPr>
      </w:pPr>
      <w:r>
        <w:rPr>
          <w:rFonts w:hint="eastAsia"/>
          <w:sz w:val="32"/>
          <w:szCs w:val="32"/>
        </w:rPr>
        <w:t>审核实名认证申请表盖章真假，是否与系统所填信息一致。</w:t>
      </w:r>
    </w:p>
    <w:p>
      <w:pPr>
        <w:ind w:firstLine="707" w:firstLineChars="221"/>
        <w:rPr>
          <w:sz w:val="32"/>
          <w:szCs w:val="32"/>
        </w:rPr>
      </w:pPr>
      <w:r>
        <w:rPr>
          <w:rFonts w:hint="eastAsia"/>
          <w:sz w:val="32"/>
          <w:szCs w:val="32"/>
        </w:rPr>
        <w:t>审核无误，可点击“审核通过”；</w:t>
      </w:r>
    </w:p>
    <w:p>
      <w:pPr>
        <w:ind w:firstLine="707" w:firstLineChars="221"/>
        <w:rPr>
          <w:sz w:val="32"/>
          <w:szCs w:val="32"/>
        </w:rPr>
      </w:pPr>
      <w:r>
        <w:rPr>
          <w:rFonts w:hint="eastAsia"/>
          <w:sz w:val="32"/>
          <w:szCs w:val="32"/>
        </w:rPr>
        <w:t>审核有问题，则点击“审核不通过”，并填写相应意见，让企业重新修改实名认证申请。</w:t>
      </w:r>
    </w:p>
    <w:p>
      <w:pPr>
        <w:pStyle w:val="3"/>
        <w:rPr>
          <w:rFonts w:hAnsi="楷体"/>
          <w:b w:val="0"/>
          <w:sz w:val="32"/>
        </w:rPr>
      </w:pPr>
      <w:bookmarkStart w:id="3" w:name="_Toc526005372"/>
      <w:r>
        <w:rPr>
          <w:rFonts w:hint="eastAsia" w:hAnsi="楷体"/>
          <w:b w:val="0"/>
          <w:sz w:val="32"/>
        </w:rPr>
        <w:t>2.2、企业联系人变更</w:t>
      </w:r>
      <w:bookmarkEnd w:id="3"/>
    </w:p>
    <w:p>
      <w:pPr>
        <w:ind w:firstLine="707" w:firstLineChars="221"/>
        <w:rPr>
          <w:sz w:val="32"/>
          <w:szCs w:val="32"/>
        </w:rPr>
      </w:pPr>
      <w:r>
        <w:rPr>
          <w:rFonts w:hint="eastAsia"/>
          <w:sz w:val="32"/>
          <w:szCs w:val="32"/>
        </w:rPr>
        <w:t>某些企业由于联系人离职、换岗等原因，需要申请变更企业联系人，也需要提交企业联系人变更申请给所属区审核，审核方式与实名认证审核一致，请参考</w:t>
      </w:r>
      <w:r>
        <w:fldChar w:fldCharType="begin"/>
      </w:r>
      <w:r>
        <w:instrText xml:space="preserve"> HYPERLINK \l "_2.1、实名认证审核" </w:instrText>
      </w:r>
      <w:r>
        <w:fldChar w:fldCharType="separate"/>
      </w:r>
      <w:r>
        <w:rPr>
          <w:rStyle w:val="6"/>
          <w:rFonts w:hint="eastAsia"/>
          <w:sz w:val="32"/>
          <w:szCs w:val="32"/>
        </w:rPr>
        <w:t>实名认证审核</w:t>
      </w:r>
      <w:r>
        <w:rPr>
          <w:rStyle w:val="6"/>
          <w:sz w:val="32"/>
          <w:szCs w:val="32"/>
        </w:rPr>
        <w:fldChar w:fldCharType="end"/>
      </w:r>
      <w:r>
        <w:rPr>
          <w:rFonts w:hint="eastAsia"/>
          <w:sz w:val="32"/>
          <w:szCs w:val="32"/>
        </w:rPr>
        <w:t>。</w:t>
      </w:r>
    </w:p>
    <w:p>
      <w:pPr>
        <w:pStyle w:val="3"/>
        <w:rPr>
          <w:rFonts w:hAnsi="楷体"/>
          <w:b w:val="0"/>
          <w:sz w:val="32"/>
        </w:rPr>
      </w:pPr>
      <w:bookmarkStart w:id="4" w:name="_Toc526005373"/>
      <w:r>
        <w:rPr>
          <w:rFonts w:hint="eastAsia" w:hAnsi="楷体"/>
          <w:b w:val="0"/>
          <w:sz w:val="32"/>
        </w:rPr>
        <w:t>2.3、企业账号续期</w:t>
      </w:r>
      <w:bookmarkEnd w:id="4"/>
    </w:p>
    <w:p>
      <w:pPr>
        <w:ind w:firstLine="707" w:firstLineChars="221"/>
        <w:rPr>
          <w:sz w:val="32"/>
          <w:szCs w:val="32"/>
        </w:rPr>
      </w:pPr>
      <w:r>
        <w:rPr>
          <w:rFonts w:hint="eastAsia"/>
          <w:sz w:val="32"/>
          <w:szCs w:val="32"/>
        </w:rPr>
        <w:t>为了规范企业管理账号管理，企业账号有效期一般为一年，当企业账号快过期时，企业需要提交账号续期申请给所属区审核，其审核方式与实名认证审核一致，请参考</w:t>
      </w:r>
      <w:r>
        <w:fldChar w:fldCharType="begin"/>
      </w:r>
      <w:r>
        <w:instrText xml:space="preserve"> HYPERLINK \l "_2.1、实名认证审核" </w:instrText>
      </w:r>
      <w:r>
        <w:fldChar w:fldCharType="separate"/>
      </w:r>
      <w:r>
        <w:rPr>
          <w:rStyle w:val="6"/>
          <w:rFonts w:hint="eastAsia"/>
          <w:sz w:val="32"/>
          <w:szCs w:val="32"/>
        </w:rPr>
        <w:t>实名认证审核</w:t>
      </w:r>
      <w:r>
        <w:rPr>
          <w:rStyle w:val="6"/>
          <w:sz w:val="32"/>
          <w:szCs w:val="32"/>
        </w:rPr>
        <w:fldChar w:fldCharType="end"/>
      </w:r>
      <w:r>
        <w:rPr>
          <w:rFonts w:hint="eastAsia"/>
          <w:sz w:val="32"/>
          <w:szCs w:val="32"/>
        </w:rPr>
        <w:t>。</w:t>
      </w:r>
    </w:p>
    <w:p>
      <w:pPr>
        <w:pStyle w:val="3"/>
        <w:rPr>
          <w:rFonts w:hAnsi="楷体"/>
          <w:b w:val="0"/>
          <w:sz w:val="32"/>
        </w:rPr>
      </w:pPr>
      <w:bookmarkStart w:id="5" w:name="_Toc526005374"/>
      <w:r>
        <w:rPr>
          <w:rFonts w:hint="eastAsia" w:hAnsi="楷体"/>
          <w:b w:val="0"/>
          <w:sz w:val="32"/>
        </w:rPr>
        <w:t>2.4、账号申诉</w:t>
      </w:r>
      <w:bookmarkEnd w:id="5"/>
    </w:p>
    <w:p>
      <w:pPr>
        <w:ind w:firstLine="707" w:firstLineChars="221"/>
        <w:rPr>
          <w:sz w:val="32"/>
          <w:szCs w:val="32"/>
        </w:rPr>
      </w:pPr>
      <w:r>
        <w:rPr>
          <w:rFonts w:hint="eastAsia"/>
          <w:sz w:val="32"/>
          <w:szCs w:val="32"/>
        </w:rPr>
        <w:t>企业在注册时，如果发现本企业的账号已经被其他人恶意注册，那么该企业就可以在系统上进行账号申诉，再由所属区对其申诉进行处理。具体操作如下：</w:t>
      </w:r>
    </w:p>
    <w:p>
      <w:pPr>
        <w:rPr>
          <w:sz w:val="32"/>
          <w:szCs w:val="32"/>
        </w:rPr>
      </w:pPr>
      <w:r>
        <w:rPr>
          <w:sz w:val="32"/>
          <w:szCs w:val="32"/>
        </w:rPr>
        <w:drawing>
          <wp:inline distT="0" distB="0" distL="114300" distR="114300">
            <wp:extent cx="5243195" cy="3103245"/>
            <wp:effectExtent l="0" t="0" r="1460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43195" cy="3103245"/>
                    </a:xfrm>
                    <a:prstGeom prst="rect">
                      <a:avLst/>
                    </a:prstGeom>
                    <a:noFill/>
                    <a:ln>
                      <a:noFill/>
                    </a:ln>
                  </pic:spPr>
                </pic:pic>
              </a:graphicData>
            </a:graphic>
          </wp:inline>
        </w:drawing>
      </w:r>
    </w:p>
    <w:p>
      <w:pPr>
        <w:ind w:firstLine="709"/>
        <w:rPr>
          <w:sz w:val="32"/>
          <w:szCs w:val="32"/>
        </w:rPr>
      </w:pPr>
      <w:r>
        <w:rPr>
          <w:rFonts w:hint="eastAsia"/>
          <w:sz w:val="32"/>
          <w:szCs w:val="32"/>
        </w:rPr>
        <w:t>依次点击“企业管理”—“账号申诉”，可以查看到申诉记录，点击列表后面的“处理”，打开详情页面：</w:t>
      </w:r>
    </w:p>
    <w:p>
      <w:pPr>
        <w:rPr>
          <w:sz w:val="32"/>
          <w:szCs w:val="32"/>
        </w:rPr>
      </w:pPr>
      <w:r>
        <w:rPr>
          <w:sz w:val="32"/>
          <w:szCs w:val="32"/>
        </w:rPr>
        <w:drawing>
          <wp:inline distT="0" distB="0" distL="114300" distR="114300">
            <wp:extent cx="5247005" cy="3255010"/>
            <wp:effectExtent l="0" t="0" r="1079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47005" cy="3255010"/>
                    </a:xfrm>
                    <a:prstGeom prst="rect">
                      <a:avLst/>
                    </a:prstGeom>
                    <a:noFill/>
                    <a:ln>
                      <a:noFill/>
                    </a:ln>
                  </pic:spPr>
                </pic:pic>
              </a:graphicData>
            </a:graphic>
          </wp:inline>
        </w:drawing>
      </w:r>
    </w:p>
    <w:p>
      <w:pPr>
        <w:ind w:firstLine="709"/>
        <w:rPr>
          <w:sz w:val="32"/>
          <w:szCs w:val="32"/>
        </w:rPr>
      </w:pPr>
      <w:r>
        <w:rPr>
          <w:rFonts w:hint="eastAsia"/>
          <w:sz w:val="32"/>
          <w:szCs w:val="32"/>
        </w:rPr>
        <w:t>审核时，主要审核企业所提交的营业执照真假、实名认证申请真假，并且是否与系统所填写信息一致。</w:t>
      </w:r>
    </w:p>
    <w:p>
      <w:pPr>
        <w:ind w:firstLine="709"/>
        <w:rPr>
          <w:sz w:val="32"/>
          <w:szCs w:val="32"/>
        </w:rPr>
      </w:pPr>
      <w:r>
        <w:rPr>
          <w:rFonts w:hint="eastAsia"/>
          <w:sz w:val="32"/>
          <w:szCs w:val="32"/>
        </w:rPr>
        <w:t>审核无误，请点击“申诉通过”；</w:t>
      </w:r>
    </w:p>
    <w:p>
      <w:pPr>
        <w:ind w:firstLine="709"/>
        <w:rPr>
          <w:sz w:val="32"/>
          <w:szCs w:val="32"/>
        </w:rPr>
      </w:pPr>
      <w:r>
        <w:rPr>
          <w:rFonts w:hint="eastAsia"/>
          <w:sz w:val="32"/>
          <w:szCs w:val="32"/>
        </w:rPr>
        <w:t>审核不通过，请点击“驳回申诉”。</w:t>
      </w:r>
    </w:p>
    <w:p>
      <w:pPr>
        <w:pStyle w:val="2"/>
        <w:rPr>
          <w:rFonts w:ascii="仿宋_GB2312" w:hAnsi="楷体" w:eastAsia="仿宋_GB2312" w:cs="仿宋_GB2312"/>
          <w:color w:val="000000"/>
          <w:kern w:val="44"/>
          <w:sz w:val="32"/>
        </w:rPr>
      </w:pPr>
      <w:bookmarkStart w:id="6" w:name="_Toc526005375"/>
      <w:r>
        <w:rPr>
          <w:rFonts w:hint="eastAsia" w:ascii="仿宋_GB2312" w:hAnsi="楷体" w:eastAsia="仿宋_GB2312" w:cs="仿宋_GB2312"/>
          <w:color w:val="000000"/>
          <w:kern w:val="44"/>
          <w:sz w:val="32"/>
        </w:rPr>
        <w:t>3、申报管理</w:t>
      </w:r>
      <w:bookmarkEnd w:id="6"/>
    </w:p>
    <w:p>
      <w:pPr>
        <w:pStyle w:val="3"/>
        <w:rPr>
          <w:rFonts w:hAnsi="楷体"/>
          <w:b w:val="0"/>
          <w:sz w:val="32"/>
        </w:rPr>
      </w:pPr>
      <w:bookmarkStart w:id="7" w:name="_Toc526005376"/>
      <w:r>
        <w:rPr>
          <w:rFonts w:hint="eastAsia" w:hAnsi="楷体"/>
          <w:b w:val="0"/>
          <w:sz w:val="32"/>
        </w:rPr>
        <w:t>2.1、项目审核</w:t>
      </w:r>
      <w:bookmarkEnd w:id="7"/>
    </w:p>
    <w:p>
      <w:pPr>
        <w:spacing w:line="360" w:lineRule="auto"/>
        <w:ind w:firstLine="640" w:firstLineChars="200"/>
        <w:rPr>
          <w:rFonts w:hAnsi="仿宋_GB2312"/>
          <w:color w:val="000000"/>
          <w:sz w:val="32"/>
          <w:szCs w:val="32"/>
        </w:rPr>
      </w:pPr>
      <w:r>
        <w:rPr>
          <w:rFonts w:hint="eastAsia" w:hAnsi="仿宋_GB2312"/>
          <w:color w:val="000000"/>
          <w:sz w:val="32"/>
          <w:szCs w:val="32"/>
        </w:rPr>
        <w:t>当业务科室初审项目通过（详见4.1）并发送下一步后，区主账号登录进入首页后点击“申报管理”打开如下界面，点击审核项目后即可复审项目。</w:t>
      </w:r>
    </w:p>
    <w:p>
      <w:pPr>
        <w:widowControl/>
        <w:ind w:left="-742" w:leftChars="-265"/>
        <w:jc w:val="left"/>
        <w:rPr>
          <w:rFonts w:hAnsi="宋体" w:cs="宋体"/>
          <w:color w:val="000000"/>
          <w:kern w:val="0"/>
          <w:sz w:val="32"/>
          <w:szCs w:val="32"/>
        </w:rPr>
      </w:pPr>
    </w:p>
    <w:p>
      <w:pPr>
        <w:widowControl/>
        <w:ind w:left="-496" w:leftChars="-177" w:firstLine="659" w:firstLineChars="206"/>
        <w:jc w:val="left"/>
        <w:rPr>
          <w:rFonts w:hAnsi="宋体" w:cs="宋体"/>
          <w:kern w:val="0"/>
          <w:sz w:val="32"/>
          <w:szCs w:val="32"/>
        </w:rPr>
      </w:pPr>
      <w:r>
        <w:rPr>
          <w:rFonts w:hAnsi="宋体" w:cs="宋体"/>
          <w:kern w:val="0"/>
          <w:sz w:val="32"/>
          <w:szCs w:val="32"/>
        </w:rPr>
        <w:drawing>
          <wp:inline distT="0" distB="0" distL="114300" distR="114300">
            <wp:extent cx="5126355" cy="2601595"/>
            <wp:effectExtent l="0" t="0" r="17145" b="8255"/>
            <wp:docPr id="9" name="图片 9" descr="C:\Users\pei\AppData\Roaming\Tencent\Users\63342187\QQ\WinTemp\RichOle\5LQ8G5S9@79_P5C0AGB0G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pei\AppData\Roaming\Tencent\Users\63342187\QQ\WinTemp\RichOle\5LQ8G5S9@79_P5C0AGB0GY3.png"/>
                    <pic:cNvPicPr>
                      <a:picLocks noChangeAspect="1"/>
                    </pic:cNvPicPr>
                  </pic:nvPicPr>
                  <pic:blipFill>
                    <a:blip r:embed="rId12"/>
                    <a:stretch>
                      <a:fillRect/>
                    </a:stretch>
                  </pic:blipFill>
                  <pic:spPr>
                    <a:xfrm>
                      <a:off x="0" y="0"/>
                      <a:ext cx="5126355" cy="2601595"/>
                    </a:xfrm>
                    <a:prstGeom prst="rect">
                      <a:avLst/>
                    </a:prstGeom>
                    <a:noFill/>
                    <a:ln>
                      <a:noFill/>
                    </a:ln>
                  </pic:spPr>
                </pic:pic>
              </a:graphicData>
            </a:graphic>
          </wp:inline>
        </w:drawing>
      </w:r>
    </w:p>
    <w:p>
      <w:pPr>
        <w:spacing w:line="360" w:lineRule="auto"/>
        <w:ind w:firstLine="707" w:firstLineChars="221"/>
        <w:rPr>
          <w:rFonts w:hAnsi="仿宋_GB2312"/>
          <w:color w:val="000000"/>
          <w:sz w:val="32"/>
          <w:szCs w:val="32"/>
        </w:rPr>
      </w:pPr>
      <w:r>
        <w:rPr>
          <w:rFonts w:hint="eastAsia" w:hAnsi="仿宋_GB2312"/>
          <w:color w:val="000000"/>
          <w:sz w:val="32"/>
          <w:szCs w:val="32"/>
        </w:rPr>
        <w:t>点击“审核”，打开项目详情页，可查看项目相关的信息以及附件。</w:t>
      </w:r>
    </w:p>
    <w:p>
      <w:pPr>
        <w:spacing w:line="360" w:lineRule="auto"/>
        <w:ind w:firstLine="707" w:firstLineChars="221"/>
        <w:rPr>
          <w:rFonts w:hAnsi="仿宋_GB2312"/>
          <w:color w:val="000000"/>
          <w:sz w:val="32"/>
          <w:szCs w:val="32"/>
        </w:rPr>
      </w:pPr>
      <w:r>
        <w:rPr>
          <w:rFonts w:hint="eastAsia" w:hAnsi="仿宋_GB2312"/>
          <w:color w:val="000000"/>
          <w:sz w:val="32"/>
          <w:szCs w:val="32"/>
        </w:rPr>
        <w:t>如有不符合的地方，可以点击“回退”，并填写上回退意见（写明需要企业修改或补充的材料），则项目将退至企业进行修改。</w:t>
      </w:r>
    </w:p>
    <w:p>
      <w:pPr>
        <w:spacing w:line="360" w:lineRule="auto"/>
        <w:ind w:firstLine="707" w:firstLineChars="221"/>
        <w:rPr>
          <w:rFonts w:hAnsi="仿宋_GB2312"/>
          <w:color w:val="000000"/>
          <w:sz w:val="32"/>
          <w:szCs w:val="32"/>
        </w:rPr>
      </w:pPr>
      <w:r>
        <w:rPr>
          <w:rFonts w:hint="eastAsia" w:hAnsi="仿宋_GB2312"/>
          <w:color w:val="000000"/>
          <w:sz w:val="32"/>
          <w:szCs w:val="32"/>
        </w:rPr>
        <w:t>如无问题，可以点击“发送”并填写推荐意见，发送至市工信委对应业务处室。</w:t>
      </w:r>
    </w:p>
    <w:p>
      <w:r>
        <w:rPr>
          <w:rFonts w:hAnsi="宋体" w:cs="宋体"/>
          <w:color w:val="000000"/>
          <w:kern w:val="0"/>
          <w:sz w:val="32"/>
          <w:szCs w:val="32"/>
        </w:rPr>
        <w:drawing>
          <wp:inline distT="0" distB="0" distL="114300" distR="114300">
            <wp:extent cx="5233035" cy="2654935"/>
            <wp:effectExtent l="0" t="0" r="5715"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33035" cy="2654935"/>
                    </a:xfrm>
                    <a:prstGeom prst="rect">
                      <a:avLst/>
                    </a:prstGeom>
                    <a:noFill/>
                    <a:ln>
                      <a:noFill/>
                    </a:ln>
                  </pic:spPr>
                </pic:pic>
              </a:graphicData>
            </a:graphic>
          </wp:inline>
        </w:drawing>
      </w:r>
      <w:bookmarkStart w:id="8" w:name="_GoBack"/>
      <w:bookmarkEnd w:id="8"/>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Calibri Light">
    <w:altName w:val="Calibri"/>
    <w:panose1 w:val="00000000000000000000"/>
    <w:charset w:val="00"/>
    <w:family w:val="swiss"/>
    <w:pitch w:val="default"/>
    <w:sig w:usb0="00000000" w:usb1="00000000" w:usb2="00000000" w:usb3="00000000" w:csb0="0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4A12"/>
    <w:multiLevelType w:val="multilevel"/>
    <w:tmpl w:val="006B4A12"/>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2F4FA3"/>
    <w:rsid w:val="522F4F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仿宋_GB2312" w:hAnsi="Calibri" w:eastAsia="仿宋_GB2312" w:cs="仿宋_GB2312"/>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Calibri" w:eastAsia="仿宋_GB2312" w:cs="仿宋_GB2312"/>
      <w:kern w:val="2"/>
      <w:sz w:val="28"/>
      <w:szCs w:val="22"/>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Calibri Light" w:hAnsi="Calibri Light" w:eastAsia="宋体" w:cs="Times New Roman"/>
      <w:b/>
      <w:bCs/>
      <w:szCs w:val="32"/>
    </w:rPr>
  </w:style>
  <w:style w:type="paragraph" w:styleId="3">
    <w:name w:val="heading 3"/>
    <w:basedOn w:val="1"/>
    <w:next w:val="1"/>
    <w:unhideWhenUsed/>
    <w:qFormat/>
    <w:uiPriority w:val="9"/>
    <w:pPr>
      <w:keepNext/>
      <w:keepLines/>
      <w:spacing w:before="260" w:after="260" w:line="416" w:lineRule="auto"/>
      <w:outlineLvl w:val="2"/>
    </w:pPr>
    <w:rPr>
      <w:b/>
      <w:bCs/>
      <w:szCs w:val="32"/>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character" w:styleId="6">
    <w:name w:val="Hyperlink"/>
    <w:unhideWhenUsed/>
    <w:uiPriority w:val="99"/>
    <w:rPr>
      <w:color w:val="0563C1"/>
      <w:u w:val="single"/>
    </w:rPr>
  </w:style>
  <w:style w:type="paragraph" w:styleId="7">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2019-10-10T06:28:00Z</dcterms:created>
  <dc:creator>Administrator</dc:creator>
  <cp:lastModifiedBy>Administrator</cp:lastModifiedBy>
  <dcterms:modified xsi:type="dcterms:W3CDTF">2019-10-10T06:28:51Z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